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1530"/>
      </w:tblGrid>
      <w:tr w:rsidR="00A70060" w:rsidRPr="00A70060" w:rsidTr="00A70060">
        <w:trPr>
          <w:tblCellSpacing w:w="0" w:type="dxa"/>
        </w:trPr>
        <w:tc>
          <w:tcPr>
            <w:tcW w:w="1530" w:type="dxa"/>
            <w:tcBorders>
              <w:top w:val="nil"/>
              <w:left w:val="nil"/>
              <w:bottom w:val="nil"/>
              <w:right w:val="nil"/>
            </w:tcBorders>
            <w:shd w:val="clear" w:color="auto" w:fill="DDDDDD"/>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color w:val="000000"/>
                <w:kern w:val="0"/>
                <w:sz w:val="18"/>
                <w:szCs w:val="18"/>
              </w:rPr>
            </w:pPr>
            <w:r w:rsidRPr="00A70060">
              <w:rPr>
                <w:rFonts w:ascii="宋体" w:eastAsia="宋体" w:hAnsi="宋体" w:cs="宋体" w:hint="eastAsia"/>
                <w:color w:val="000000"/>
                <w:kern w:val="0"/>
                <w:sz w:val="24"/>
                <w:szCs w:val="24"/>
              </w:rPr>
              <w:t>1.前言</w:t>
            </w:r>
          </w:p>
        </w:tc>
      </w:tr>
    </w:tbl>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为确保医疗用药品口服固体制剂的质量，1998年起开始对药品溶出性进行考察，对已确认溶出性合适的药品，把溶出试验指标纳入药品注册审评指标，即质量再评价。</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本书收载了已经通过质量再评价确认溶出性适合的药品，以及正在评价中的药品。包括法定检验机构测定品种的示例，溶解度等基本信息，请充分利用。品种名单包含过去公示部分，相应的溶出曲线示例等请参考过去的资料。</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品种目录中包括2010年5月26日以及11月17日发布的结果公告《医疗用医药品再评价结果 平成20年 一》（</w:t>
      </w:r>
      <w:proofErr w:type="gramStart"/>
      <w:r w:rsidRPr="00A70060">
        <w:rPr>
          <w:rFonts w:ascii="宋体" w:eastAsia="宋体" w:hAnsi="宋体" w:cs="宋体" w:hint="eastAsia"/>
          <w:color w:val="000000"/>
          <w:kern w:val="0"/>
          <w:sz w:val="24"/>
          <w:szCs w:val="24"/>
        </w:rPr>
        <w:t>药食发</w:t>
      </w:r>
      <w:proofErr w:type="gramEnd"/>
      <w:r w:rsidRPr="00A70060">
        <w:rPr>
          <w:rFonts w:ascii="宋体" w:eastAsia="宋体" w:hAnsi="宋体" w:cs="宋体" w:hint="eastAsia"/>
          <w:color w:val="000000"/>
          <w:kern w:val="0"/>
          <w:sz w:val="24"/>
          <w:szCs w:val="24"/>
        </w:rPr>
        <w:t>第0526014号 医药食品局长通知）及《医疗用医药品再评价结果 平成20年二》（</w:t>
      </w:r>
      <w:proofErr w:type="gramStart"/>
      <w:r w:rsidRPr="00A70060">
        <w:rPr>
          <w:rFonts w:ascii="宋体" w:eastAsia="宋体" w:hAnsi="宋体" w:cs="宋体" w:hint="eastAsia"/>
          <w:color w:val="000000"/>
          <w:kern w:val="0"/>
          <w:sz w:val="24"/>
          <w:szCs w:val="24"/>
        </w:rPr>
        <w:t>药食发</w:t>
      </w:r>
      <w:proofErr w:type="gramEnd"/>
      <w:r w:rsidRPr="00A70060">
        <w:rPr>
          <w:rFonts w:ascii="宋体" w:eastAsia="宋体" w:hAnsi="宋体" w:cs="宋体" w:hint="eastAsia"/>
          <w:color w:val="000000"/>
          <w:kern w:val="0"/>
          <w:sz w:val="24"/>
          <w:szCs w:val="24"/>
        </w:rPr>
        <w:t>第1117005号 医药食品局长通知）中的公示名单（注：本版为2010年3月发行的橙皮书）。公示品种相关信息尽可能为最新信息，但生产（进口销售）厂家名称由于公司合并等原因，可能会有变更，希望大家利用最新出版的书确认。</w:t>
      </w:r>
    </w:p>
    <w:p w:rsidR="00A70060" w:rsidRPr="00A70060" w:rsidRDefault="00A70060" w:rsidP="00A70060">
      <w:pPr>
        <w:widowControl/>
        <w:jc w:val="left"/>
        <w:rPr>
          <w:rFonts w:ascii="宋体" w:eastAsia="宋体" w:hAnsi="宋体" w:cs="宋体" w:hint="eastAsia"/>
          <w:kern w:val="0"/>
          <w:sz w:val="24"/>
          <w:szCs w:val="24"/>
        </w:rPr>
      </w:pPr>
      <w:r w:rsidRPr="00A70060">
        <w:rPr>
          <w:rFonts w:ascii="宋体" w:eastAsia="宋体" w:hAnsi="宋体" w:cs="宋体" w:hint="eastAsia"/>
          <w:color w:val="000000"/>
          <w:kern w:val="0"/>
          <w:sz w:val="24"/>
          <w:szCs w:val="24"/>
          <w:shd w:val="clear" w:color="auto" w:fill="FFFFFF"/>
        </w:rPr>
        <w:br w:type="textWrapping" w:clear="all"/>
      </w:r>
    </w:p>
    <w:p w:rsidR="00A70060" w:rsidRPr="00A70060" w:rsidRDefault="00A70060" w:rsidP="00A70060">
      <w:pPr>
        <w:widowControl/>
        <w:shd w:val="clear" w:color="auto" w:fill="FFFFFF"/>
        <w:spacing w:line="420" w:lineRule="atLeast"/>
        <w:jc w:val="left"/>
        <w:rPr>
          <w:rFonts w:ascii="宋体" w:eastAsia="宋体" w:hAnsi="宋体" w:cs="宋体"/>
          <w:color w:val="000000"/>
          <w:kern w:val="0"/>
          <w:szCs w:val="21"/>
        </w:rPr>
      </w:pPr>
      <w:bookmarkStart w:id="0" w:name="OLE_LINK2"/>
      <w:bookmarkStart w:id="1" w:name="OLE_LINK1"/>
      <w:bookmarkEnd w:id="0"/>
      <w:r w:rsidRPr="00A70060">
        <w:rPr>
          <w:rFonts w:ascii="宋体" w:eastAsia="宋体" w:hAnsi="宋体" w:cs="宋体" w:hint="eastAsia"/>
          <w:color w:val="000000"/>
          <w:kern w:val="0"/>
          <w:sz w:val="24"/>
          <w:szCs w:val="24"/>
        </w:rPr>
        <w:t>有关《医疗用医药品质量情报集》（橙皮书）</w:t>
      </w:r>
      <w:bookmarkEnd w:id="1"/>
      <w:r w:rsidRPr="00A70060">
        <w:rPr>
          <w:rFonts w:ascii="宋体" w:eastAsia="宋体" w:hAnsi="宋体" w:cs="宋体" w:hint="eastAsia"/>
          <w:color w:val="000000"/>
          <w:kern w:val="0"/>
          <w:sz w:val="24"/>
          <w:szCs w:val="24"/>
        </w:rPr>
        <w:t>使用的问答</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82"/>
        <w:gridCol w:w="7224"/>
      </w:tblGrid>
      <w:tr w:rsidR="00A70060" w:rsidRPr="00A70060" w:rsidTr="00A70060">
        <w:trPr>
          <w:tblCellSpacing w:w="0" w:type="dxa"/>
        </w:trPr>
        <w:tc>
          <w:tcPr>
            <w:tcW w:w="109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问1：</w:t>
            </w:r>
          </w:p>
        </w:tc>
        <w:tc>
          <w:tcPr>
            <w:tcW w:w="742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不属于该品种目录收载范围的品种，是否与原研药</w:t>
            </w:r>
            <w:proofErr w:type="gramStart"/>
            <w:r w:rsidRPr="00A70060">
              <w:rPr>
                <w:rFonts w:ascii="宋体" w:eastAsia="宋体" w:hAnsi="宋体" w:cs="宋体" w:hint="eastAsia"/>
                <w:color w:val="000000"/>
                <w:kern w:val="0"/>
                <w:sz w:val="24"/>
                <w:szCs w:val="24"/>
              </w:rPr>
              <w:t>不</w:t>
            </w:r>
            <w:proofErr w:type="gramEnd"/>
            <w:r w:rsidRPr="00A70060">
              <w:rPr>
                <w:rFonts w:ascii="宋体" w:eastAsia="宋体" w:hAnsi="宋体" w:cs="宋体" w:hint="eastAsia"/>
                <w:color w:val="000000"/>
                <w:kern w:val="0"/>
                <w:sz w:val="24"/>
                <w:szCs w:val="24"/>
              </w:rPr>
              <w:t>等效？</w:t>
            </w:r>
          </w:p>
        </w:tc>
      </w:tr>
      <w:tr w:rsidR="00A70060" w:rsidRPr="00A70060" w:rsidTr="00A70060">
        <w:trPr>
          <w:tblCellSpacing w:w="0" w:type="dxa"/>
        </w:trPr>
        <w:tc>
          <w:tcPr>
            <w:tcW w:w="109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答：</w:t>
            </w:r>
          </w:p>
        </w:tc>
        <w:tc>
          <w:tcPr>
            <w:tcW w:w="742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此目录收载的品种为实施质量再评价时接受再评价审查的品种。对于质量再评价实施后审批的同一质量标准的制剂，在其提出注册申请时，要求确认等效性，设定同一溶出试验标准后才审批；或者确认等效性，在质量再评价结束后，追加设定溶出试验标准条件后给予批准。在质量再评价结束后迅速进行标准设定的品种，如果和本书收载的制剂是同一规格的产品，基本是已完成等效性确认和溶出试验规格设定。对本书收载以外的单个制剂的信息，请咨询各生产销售商。</w:t>
            </w:r>
          </w:p>
        </w:tc>
      </w:tr>
      <w:tr w:rsidR="00A70060" w:rsidRPr="00A70060" w:rsidTr="00A70060">
        <w:trPr>
          <w:tblCellSpacing w:w="0" w:type="dxa"/>
        </w:trPr>
        <w:tc>
          <w:tcPr>
            <w:tcW w:w="109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问2：</w:t>
            </w:r>
          </w:p>
        </w:tc>
        <w:tc>
          <w:tcPr>
            <w:tcW w:w="742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本品种目录中未收载的成分、制剂规格，尚未确认原研药和仿制药具有等效性吗？</w:t>
            </w:r>
          </w:p>
        </w:tc>
      </w:tr>
      <w:tr w:rsidR="00A70060" w:rsidRPr="00A70060" w:rsidTr="00A70060">
        <w:trPr>
          <w:tblCellSpacing w:w="0" w:type="dxa"/>
        </w:trPr>
        <w:tc>
          <w:tcPr>
            <w:tcW w:w="109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答：</w:t>
            </w:r>
          </w:p>
        </w:tc>
        <w:tc>
          <w:tcPr>
            <w:tcW w:w="742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对于1995年4月以后申请的口服固体制剂，原则上必须设定溶出试验标准。审批仿制药时，要求完成生物等效性及溶出试验标准才能获得批准。因此，1995年4月以后申请的口服固体制剂已确认仿制药和原研药具有等效性，不再将其作为质量再评价和橙皮书收载的对象。</w:t>
            </w:r>
          </w:p>
        </w:tc>
      </w:tr>
      <w:tr w:rsidR="00A70060" w:rsidRPr="00A70060" w:rsidTr="00A70060">
        <w:trPr>
          <w:tblCellSpacing w:w="0" w:type="dxa"/>
        </w:trPr>
        <w:tc>
          <w:tcPr>
            <w:tcW w:w="109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问3：</w:t>
            </w:r>
          </w:p>
        </w:tc>
        <w:tc>
          <w:tcPr>
            <w:tcW w:w="742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bookmarkStart w:id="2" w:name="OLE_LINK6"/>
            <w:bookmarkStart w:id="3" w:name="OLE_LINK7"/>
            <w:bookmarkEnd w:id="3"/>
            <w:r w:rsidRPr="00A70060">
              <w:rPr>
                <w:rFonts w:ascii="宋体" w:eastAsia="宋体" w:hAnsi="宋体" w:cs="宋体" w:hint="eastAsia"/>
                <w:color w:val="000000"/>
                <w:kern w:val="0"/>
                <w:sz w:val="24"/>
                <w:szCs w:val="24"/>
              </w:rPr>
              <w:t>标准为“独自”的药品</w:t>
            </w:r>
            <w:bookmarkEnd w:id="2"/>
            <w:r w:rsidRPr="00A70060">
              <w:rPr>
                <w:rFonts w:ascii="宋体" w:eastAsia="宋体" w:hAnsi="宋体" w:cs="宋体" w:hint="eastAsia"/>
                <w:color w:val="000000"/>
                <w:kern w:val="0"/>
                <w:sz w:val="24"/>
                <w:szCs w:val="24"/>
              </w:rPr>
              <w:t>执行的是哪些质量管理？</w:t>
            </w:r>
          </w:p>
        </w:tc>
      </w:tr>
      <w:tr w:rsidR="00A70060" w:rsidRPr="00A70060" w:rsidTr="00A70060">
        <w:trPr>
          <w:tblCellSpacing w:w="0" w:type="dxa"/>
        </w:trPr>
        <w:tc>
          <w:tcPr>
            <w:tcW w:w="109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答：</w:t>
            </w:r>
          </w:p>
        </w:tc>
        <w:tc>
          <w:tcPr>
            <w:tcW w:w="742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标准为“独自”的药品是指按照与通用溶出试验方法不同的试验方法、试验标准进行质量管理的产品。具体内容请咨询各生产、销售商。</w:t>
            </w:r>
          </w:p>
        </w:tc>
      </w:tr>
      <w:tr w:rsidR="00A70060" w:rsidRPr="00A70060" w:rsidTr="00A70060">
        <w:trPr>
          <w:tblCellSpacing w:w="0" w:type="dxa"/>
        </w:trPr>
        <w:tc>
          <w:tcPr>
            <w:tcW w:w="109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lastRenderedPageBreak/>
              <w:t>问4：</w:t>
            </w:r>
          </w:p>
        </w:tc>
        <w:tc>
          <w:tcPr>
            <w:tcW w:w="742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此目录收载的产品是否全部属于可以使用的制剂？</w:t>
            </w:r>
          </w:p>
        </w:tc>
      </w:tr>
      <w:tr w:rsidR="00A70060" w:rsidRPr="00A70060" w:rsidTr="00A70060">
        <w:trPr>
          <w:tblCellSpacing w:w="0" w:type="dxa"/>
        </w:trPr>
        <w:tc>
          <w:tcPr>
            <w:tcW w:w="109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答：</w:t>
            </w:r>
          </w:p>
        </w:tc>
        <w:tc>
          <w:tcPr>
            <w:tcW w:w="742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此目录所收载的产品已实施质量再评价，与是否收载进药价目录无关。是否为药价收载品种，各医疗机构是否选择供应厂家等情况，请咨询各生产、销售商。</w:t>
            </w:r>
          </w:p>
        </w:tc>
      </w:tr>
      <w:tr w:rsidR="00A70060" w:rsidRPr="00A70060" w:rsidTr="00A70060">
        <w:trPr>
          <w:tblCellSpacing w:w="0" w:type="dxa"/>
        </w:trPr>
        <w:tc>
          <w:tcPr>
            <w:tcW w:w="109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问5：</w:t>
            </w:r>
          </w:p>
        </w:tc>
        <w:tc>
          <w:tcPr>
            <w:tcW w:w="742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除必须设定溶出试验标准的新药外，不属于质量再评价对象的口服固体制剂有哪些？</w:t>
            </w:r>
          </w:p>
        </w:tc>
      </w:tr>
      <w:tr w:rsidR="00A70060" w:rsidRPr="00A70060" w:rsidTr="00A70060">
        <w:trPr>
          <w:tblCellSpacing w:w="0" w:type="dxa"/>
        </w:trPr>
        <w:tc>
          <w:tcPr>
            <w:tcW w:w="109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答：</w:t>
            </w:r>
          </w:p>
        </w:tc>
        <w:tc>
          <w:tcPr>
            <w:tcW w:w="7425" w:type="dxa"/>
            <w:tcBorders>
              <w:top w:val="nil"/>
              <w:left w:val="nil"/>
              <w:bottom w:val="nil"/>
              <w:right w:val="nil"/>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对于造影剂、消化酶制剂、抑酸剂、生药·浸膏制剂等，采用溶出试验法以外的制剂试验进行合理质量管理的药品，不作为通过溶出试验进行相对比较和设定溶出试验标准的质量再评价对象。</w:t>
            </w:r>
          </w:p>
        </w:tc>
      </w:tr>
    </w:tbl>
    <w:p w:rsidR="00A70060" w:rsidRPr="00A70060" w:rsidRDefault="00A70060" w:rsidP="00A70060">
      <w:pPr>
        <w:widowControl/>
        <w:jc w:val="left"/>
        <w:rPr>
          <w:rFonts w:ascii="宋体" w:eastAsia="宋体" w:hAnsi="宋体" w:cs="宋体"/>
          <w:vanish/>
          <w:kern w:val="0"/>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306"/>
      </w:tblGrid>
      <w:tr w:rsidR="00A70060" w:rsidRPr="00A70060" w:rsidTr="00A70060">
        <w:trPr>
          <w:tblCellSpacing w:w="0" w:type="dxa"/>
        </w:trPr>
        <w:tc>
          <w:tcPr>
            <w:tcW w:w="8520" w:type="dxa"/>
            <w:tcBorders>
              <w:top w:val="nil"/>
              <w:left w:val="nil"/>
              <w:bottom w:val="nil"/>
              <w:right w:val="nil"/>
            </w:tcBorders>
            <w:shd w:val="clear" w:color="auto" w:fill="DDDDDD"/>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2.</w:t>
            </w:r>
            <w:bookmarkStart w:id="4" w:name="OLE_LINK3"/>
            <w:bookmarkStart w:id="5" w:name="OLE_LINK4"/>
            <w:bookmarkEnd w:id="5"/>
            <w:r w:rsidRPr="00A70060">
              <w:rPr>
                <w:rFonts w:ascii="宋体" w:eastAsia="宋体" w:hAnsi="宋体" w:cs="宋体" w:hint="eastAsia"/>
                <w:color w:val="000000"/>
                <w:kern w:val="0"/>
                <w:sz w:val="24"/>
                <w:szCs w:val="24"/>
              </w:rPr>
              <w:t>《医疗用医药品质量情报集》（橙皮书）</w:t>
            </w:r>
            <w:bookmarkEnd w:id="4"/>
            <w:r w:rsidRPr="00A70060">
              <w:rPr>
                <w:rFonts w:ascii="宋体" w:eastAsia="宋体" w:hAnsi="宋体" w:cs="宋体" w:hint="eastAsia"/>
                <w:color w:val="000000"/>
                <w:kern w:val="0"/>
                <w:sz w:val="24"/>
                <w:szCs w:val="24"/>
              </w:rPr>
              <w:t>的使用</w:t>
            </w:r>
          </w:p>
        </w:tc>
      </w:tr>
    </w:tbl>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（1）质量再评价的方法</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对需要进行质量再评价的药品生产企业，在制定溶出试验方法时，应指示其进行预试验。根据</w:t>
      </w:r>
      <w:proofErr w:type="gramStart"/>
      <w:r w:rsidRPr="00A70060">
        <w:rPr>
          <w:rFonts w:ascii="宋体" w:eastAsia="宋体" w:hAnsi="宋体" w:cs="宋体" w:hint="eastAsia"/>
          <w:color w:val="000000"/>
          <w:kern w:val="0"/>
          <w:sz w:val="24"/>
          <w:szCs w:val="24"/>
        </w:rPr>
        <w:t>预试验</w:t>
      </w:r>
      <w:proofErr w:type="gramEnd"/>
      <w:r w:rsidRPr="00A70060">
        <w:rPr>
          <w:rFonts w:ascii="宋体" w:eastAsia="宋体" w:hAnsi="宋体" w:cs="宋体" w:hint="eastAsia"/>
          <w:color w:val="000000"/>
          <w:kern w:val="0"/>
          <w:sz w:val="24"/>
          <w:szCs w:val="24"/>
        </w:rPr>
        <w:t>的结果、转速、试验介质等，决定是否属于实施再评价指定对象。对于实施再评价的品种，在规定条件下进行溶出试验，依据其结果制定通用溶出试验方法（草案）并公示。仿制企业在与原研企业的参比制剂比较溶出性的同时，应确认是否符合通用溶出试验方法（草案）是否。适合考察溶出性的品种，将在批准书中对其进行规定。</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（2）《医疗用医药品质量情报集》（橙皮书）记载事项</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①药效组别栏（药理学分类）</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记录再评价对象药品的药效组别分类编号。</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②有效成分栏</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记录有效成分名称。复方制剂记录多个有效成分名称。</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③剂型栏</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标示片剂、胶囊剂、颗粒剂等剂型。</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④特性栏</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普通→普通制剂、肠溶→肠溶制剂、徐放→缓释制剂、口腔→口腔崩解制剂</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⑤含量栏</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每1片的含量或者每1g的含量</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⑥步骤栏</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各步骤的定义和记录项目</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（1）的质量再评价的顺序分为以下5步。</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1：讨论该品种是否需要进行评价</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2：指示进行</w:t>
      </w:r>
      <w:proofErr w:type="gramStart"/>
      <w:r w:rsidRPr="00A70060">
        <w:rPr>
          <w:rFonts w:ascii="宋体" w:eastAsia="宋体" w:hAnsi="宋体" w:cs="宋体" w:hint="eastAsia"/>
          <w:color w:val="000000"/>
          <w:kern w:val="0"/>
          <w:sz w:val="24"/>
          <w:szCs w:val="24"/>
        </w:rPr>
        <w:t>预试验</w:t>
      </w:r>
      <w:proofErr w:type="gramEnd"/>
      <w:r w:rsidRPr="00A70060">
        <w:rPr>
          <w:rFonts w:ascii="宋体" w:eastAsia="宋体" w:hAnsi="宋体" w:cs="宋体" w:hint="eastAsia"/>
          <w:color w:val="000000"/>
          <w:kern w:val="0"/>
          <w:sz w:val="24"/>
          <w:szCs w:val="24"/>
        </w:rPr>
        <w:t>的品种</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3：再评价指定品种</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lastRenderedPageBreak/>
        <w:t>4：溶出试验方法（草案）公示的品种</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5：溶出试验方法已确定的品种（有网点的是本次步骤5的品种）</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⑦标准栏</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a溶出试验的参比制剂标记为“*”或“+”。当质量再评价结束后，由于参比制剂停止生产等原因，会出现没有“*”或“+”的情况。</w:t>
      </w:r>
      <w:bookmarkStart w:id="6" w:name="bookmark10"/>
      <w:bookmarkEnd w:id="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290"/>
      </w:tblGrid>
      <w:tr w:rsidR="00A70060" w:rsidRPr="00A70060" w:rsidTr="00A70060">
        <w:trPr>
          <w:tblCellSpacing w:w="0" w:type="dxa"/>
        </w:trPr>
        <w:tc>
          <w:tcPr>
            <w:tcW w:w="852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具体程序和步骤</w:t>
            </w:r>
            <w:bookmarkStart w:id="7" w:name="bookmark11"/>
            <w:bookmarkEnd w:id="7"/>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①选择质量再评价候选药物【步骤1】</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利用结构式相似性，在每个药效群中选择再评价指定候选药物。</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厚生劳动大臣</w:t>
            </w:r>
            <w:proofErr w:type="gramStart"/>
            <w:r w:rsidRPr="00A70060">
              <w:rPr>
                <w:rFonts w:ascii="宋体" w:eastAsia="宋体" w:hAnsi="宋体" w:cs="宋体" w:hint="eastAsia"/>
                <w:color w:val="000000"/>
                <w:kern w:val="0"/>
                <w:sz w:val="24"/>
                <w:szCs w:val="24"/>
              </w:rPr>
              <w:t>咨</w:t>
            </w:r>
            <w:proofErr w:type="gramEnd"/>
            <w:r w:rsidRPr="00A70060">
              <w:rPr>
                <w:rFonts w:ascii="宋体" w:eastAsia="宋体" w:hAnsi="宋体" w:cs="宋体" w:hint="eastAsia"/>
                <w:color w:val="000000"/>
                <w:kern w:val="0"/>
                <w:sz w:val="24"/>
                <w:szCs w:val="24"/>
              </w:rPr>
              <w:t>问药事•食品卫生审议会，审议会就指定成分等相关内容答复。</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②实施</w:t>
            </w:r>
            <w:proofErr w:type="gramStart"/>
            <w:r w:rsidRPr="00A70060">
              <w:rPr>
                <w:rFonts w:ascii="宋体" w:eastAsia="宋体" w:hAnsi="宋体" w:cs="宋体" w:hint="eastAsia"/>
                <w:color w:val="000000"/>
                <w:kern w:val="0"/>
                <w:sz w:val="24"/>
                <w:szCs w:val="24"/>
              </w:rPr>
              <w:t>预试验</w:t>
            </w:r>
            <w:proofErr w:type="gramEnd"/>
            <w:r w:rsidRPr="00A70060">
              <w:rPr>
                <w:rFonts w:ascii="宋体" w:eastAsia="宋体" w:hAnsi="宋体" w:cs="宋体" w:hint="eastAsia"/>
                <w:color w:val="000000"/>
                <w:kern w:val="0"/>
                <w:sz w:val="24"/>
                <w:szCs w:val="24"/>
              </w:rPr>
              <w:t>【步骤2】</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Wingdings 2" w:eastAsia="宋体" w:hAnsi="Wingdings 2" w:cs="宋体"/>
                <w:color w:val="000000"/>
                <w:kern w:val="0"/>
                <w:sz w:val="24"/>
                <w:szCs w:val="24"/>
              </w:rPr>
              <w:t></w:t>
            </w:r>
            <w:proofErr w:type="gramStart"/>
            <w:r w:rsidRPr="00A70060">
              <w:rPr>
                <w:rFonts w:ascii="宋体" w:eastAsia="宋体" w:hAnsi="宋体" w:cs="宋体" w:hint="eastAsia"/>
                <w:color w:val="000000"/>
                <w:kern w:val="0"/>
                <w:sz w:val="24"/>
                <w:szCs w:val="24"/>
              </w:rPr>
              <w:t>预试验</w:t>
            </w:r>
            <w:proofErr w:type="gramEnd"/>
            <w:r w:rsidRPr="00A70060">
              <w:rPr>
                <w:rFonts w:ascii="宋体" w:eastAsia="宋体" w:hAnsi="宋体" w:cs="宋体" w:hint="eastAsia"/>
                <w:color w:val="000000"/>
                <w:kern w:val="0"/>
                <w:sz w:val="24"/>
                <w:szCs w:val="24"/>
              </w:rPr>
              <w:t>通知</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该品种的原研企业根据成分特性，通常从pH1.2、4.0、6.8和水4种溶液、</w:t>
            </w:r>
            <w:proofErr w:type="gramStart"/>
            <w:r w:rsidRPr="00A70060">
              <w:rPr>
                <w:rFonts w:ascii="宋体" w:eastAsia="宋体" w:hAnsi="宋体" w:cs="宋体" w:hint="eastAsia"/>
                <w:color w:val="000000"/>
                <w:kern w:val="0"/>
                <w:sz w:val="24"/>
                <w:szCs w:val="24"/>
              </w:rPr>
              <w:t>桨法50转条件</w:t>
            </w:r>
            <w:proofErr w:type="gramEnd"/>
            <w:r w:rsidRPr="00A70060">
              <w:rPr>
                <w:rFonts w:ascii="宋体" w:eastAsia="宋体" w:hAnsi="宋体" w:cs="宋体" w:hint="eastAsia"/>
                <w:color w:val="000000"/>
                <w:kern w:val="0"/>
                <w:sz w:val="24"/>
                <w:szCs w:val="24"/>
              </w:rPr>
              <w:t>入手，进行pH或转数的变更、表面活性剂的添加等，制定“标准溶出试验条件方案”。</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利用“标准溶出试验条件方案”，测定仿制药的溶出性。</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比较原研药和仿制药的溶出行为，并考虑测定值的偏差、试验实施的简便性等因素，从4种溶液中选出标准溶液。</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③质量再评价指定【步骤3】</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实施质量再评价指定（同时公示“标准溶出试验条件”，包括标准溶液）</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原研企业在标准溶液中对3批次（n=6）进行试验。3批次中显示中间溶出性的作为参比批次，在标准溶液之外的3种溶液中进行1批次（n=6）的溶出试验，并提交其结果。</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原研企业制作标准溶液的溶出试验方法（草案）并提交。（在无法得到原研企业协助的情况下，国立药品食品卫生研究所及地方卫生研究所协作，由国家制作标准方案）。</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仿制企业提交在标准溶出试验条件下，1批次（n=6）在4种溶液中的试验结果。</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上述资料的提交期限为再评价指定后3个月。</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④溶出试验方法公示【步骤4】</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由厚生劳动省通过书面形式对“溶出试验方法（草案）”进行评估，如果草案方法可行，则进行“溶出试验方法”公示。原研企业向仿制企业提供参照批次。</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地方药检所根据公示的试验方法实际进行试验操作，检验公示的试验方法的文字表述是否可妥当实施试验，确认试验方法记述的合理性。</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仿制企业用原研参比批次和本公司试验品的溶出行为进行比较，同时用本公司的3批试验品检验其与发布的溶出试验方法的适合性。（绝对值比较）</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lastRenderedPageBreak/>
              <w:t>⑤溶出试验方法部分变更申请</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原研企业及仿制企业申请对溶出试验方法中变更部分事项（溶出试验方法公示3个月以内）。</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⑥结果公布【步骤5】</w:t>
            </w:r>
          </w:p>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提交资料确认为合理时，包括部分变更申请获得批准时，进行再评价判定。同时公布溶出试验方法。</w:t>
            </w:r>
          </w:p>
        </w:tc>
      </w:tr>
    </w:tbl>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lastRenderedPageBreak/>
        <w:t>改编转载自田中克平：日本药剂师学会杂志、51（5）、p.124</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b可作为参比制剂的项目如下</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实施了临床试验的原研药（标记为*）</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已确认与原研药具有生物等效性的不同剂型、不同含量，且设定了合理的溶出试验的药品。（标记为﹢）</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c有多种单独进行剂量探索试验的制剂时，在标示参比制剂的*或﹢后面加上a、b…。</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⑧商品名栏</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a.</w:t>
      </w:r>
      <w:bookmarkStart w:id="8" w:name="OLE_LINK5"/>
      <w:r w:rsidRPr="00A70060">
        <w:rPr>
          <w:rFonts w:ascii="宋体" w:eastAsia="宋体" w:hAnsi="宋体" w:cs="宋体" w:hint="eastAsia"/>
          <w:color w:val="000000"/>
          <w:kern w:val="0"/>
          <w:sz w:val="24"/>
          <w:szCs w:val="24"/>
        </w:rPr>
        <w:t>达到步骤5时才记载。</w:t>
      </w:r>
      <w:bookmarkEnd w:id="8"/>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b.在步骤1～4时不记载。</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⑨生产（进口）-销售商栏</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a.达到步骤5时才记载。</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b.在步骤1～4时不记载。</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c.该剂型的每种含量中，最先记载参比制剂企业（主要为原研企业），然后按五十音图的顺序</w:t>
      </w:r>
      <w:proofErr w:type="gramStart"/>
      <w:r w:rsidRPr="00A70060">
        <w:rPr>
          <w:rFonts w:ascii="宋体" w:eastAsia="宋体" w:hAnsi="宋体" w:cs="宋体" w:hint="eastAsia"/>
          <w:color w:val="000000"/>
          <w:kern w:val="0"/>
          <w:sz w:val="24"/>
          <w:szCs w:val="24"/>
        </w:rPr>
        <w:t>记载非参</w:t>
      </w:r>
      <w:proofErr w:type="gramEnd"/>
      <w:r w:rsidRPr="00A70060">
        <w:rPr>
          <w:rFonts w:ascii="宋体" w:eastAsia="宋体" w:hAnsi="宋体" w:cs="宋体" w:hint="eastAsia"/>
          <w:color w:val="000000"/>
          <w:kern w:val="0"/>
          <w:sz w:val="24"/>
          <w:szCs w:val="24"/>
        </w:rPr>
        <w:t>比制剂企业（主要为仿制企业）。</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d.有多家参比制剂企业（主要为原研企业）时，在分别记载各参比制剂企业（主要为原研企业）后，</w:t>
      </w:r>
      <w:proofErr w:type="gramStart"/>
      <w:r w:rsidRPr="00A70060">
        <w:rPr>
          <w:rFonts w:ascii="宋体" w:eastAsia="宋体" w:hAnsi="宋体" w:cs="宋体" w:hint="eastAsia"/>
          <w:color w:val="000000"/>
          <w:kern w:val="0"/>
          <w:sz w:val="24"/>
          <w:szCs w:val="24"/>
        </w:rPr>
        <w:t>记载非参</w:t>
      </w:r>
      <w:proofErr w:type="gramEnd"/>
      <w:r w:rsidRPr="00A70060">
        <w:rPr>
          <w:rFonts w:ascii="宋体" w:eastAsia="宋体" w:hAnsi="宋体" w:cs="宋体" w:hint="eastAsia"/>
          <w:color w:val="000000"/>
          <w:kern w:val="0"/>
          <w:sz w:val="24"/>
          <w:szCs w:val="24"/>
        </w:rPr>
        <w:t>比制剂企业（主要为仿制企业）。</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e.生产（进口）和销售为不同企业的情况下，用“—”将两者连接起来标记。</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f.上述e中，生产（进口）企业也进行销售的情况下，用“、—”连接起来标记。</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⑩标准栏</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以下为各标识的含义</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公的…符合溶出试验方法的品种</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独自…有合理的理由，与政府发布的溶出试验方法不同，设定特有标准的品种</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Wingdings 2" w:eastAsia="宋体" w:hAnsi="Wingdings 2" w:cs="宋体"/>
          <w:color w:val="000000"/>
          <w:kern w:val="0"/>
          <w:sz w:val="24"/>
          <w:szCs w:val="24"/>
        </w:rPr>
        <w:t></w:t>
      </w:r>
      <w:r w:rsidRPr="00A70060">
        <w:rPr>
          <w:rFonts w:ascii="宋体" w:eastAsia="宋体" w:hAnsi="宋体" w:cs="宋体" w:hint="eastAsia"/>
          <w:color w:val="000000"/>
          <w:kern w:val="0"/>
          <w:sz w:val="24"/>
          <w:szCs w:val="24"/>
        </w:rPr>
        <w:t>年月…在步骤1～4时，分别按年号记载进入到各步骤的年和月</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当多家企业实施临床试验，有多个溶出试验方法的情况下，以“公的1”“公的2”… 的形式标记。在溶出试验方法中，仅定量法不同的以“公的（1法）”“公的（2法）”…的形式标记。</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Cambria Math" w:eastAsia="宋体" w:hAnsi="Cambria Math" w:cs="宋体"/>
          <w:color w:val="000000"/>
          <w:kern w:val="0"/>
          <w:sz w:val="24"/>
          <w:szCs w:val="24"/>
        </w:rPr>
        <w:lastRenderedPageBreak/>
        <w:t>⑪</w:t>
      </w:r>
      <w:r w:rsidRPr="00A70060">
        <w:rPr>
          <w:rFonts w:ascii="宋体" w:eastAsia="宋体" w:hAnsi="宋体" w:cs="宋体" w:hint="eastAsia"/>
          <w:color w:val="000000"/>
          <w:kern w:val="0"/>
          <w:sz w:val="24"/>
          <w:szCs w:val="24"/>
        </w:rPr>
        <w:t>药价栏</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以2010年3月5日之前的公告为基准。</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Cambria Math" w:eastAsia="宋体" w:hAnsi="Cambria Math" w:cs="宋体"/>
          <w:color w:val="000000"/>
          <w:kern w:val="0"/>
          <w:sz w:val="24"/>
          <w:szCs w:val="24"/>
        </w:rPr>
        <w:t>⑫</w:t>
      </w:r>
      <w:r w:rsidRPr="00A70060">
        <w:rPr>
          <w:rFonts w:ascii="宋体" w:eastAsia="宋体" w:hAnsi="宋体" w:cs="宋体" w:hint="eastAsia"/>
          <w:color w:val="000000"/>
          <w:kern w:val="0"/>
          <w:sz w:val="24"/>
          <w:szCs w:val="24"/>
        </w:rPr>
        <w:t>编号栏</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例如写有[1]，就表示《医疗用医药品质量情报集 No.1》中记载的内容。</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（3）范例</w:t>
      </w:r>
    </w:p>
    <w:tbl>
      <w:tblPr>
        <w:tblW w:w="1440" w:type="dxa"/>
        <w:tblCellSpacing w:w="0" w:type="dxa"/>
        <w:tblCellMar>
          <w:left w:w="0" w:type="dxa"/>
          <w:right w:w="0" w:type="dxa"/>
        </w:tblCellMar>
        <w:tblLook w:val="04A0" w:firstRow="1" w:lastRow="0" w:firstColumn="1" w:lastColumn="0" w:noHBand="0" w:noVBand="1"/>
      </w:tblPr>
      <w:tblGrid>
        <w:gridCol w:w="600"/>
        <w:gridCol w:w="465"/>
        <w:gridCol w:w="465"/>
        <w:gridCol w:w="465"/>
        <w:gridCol w:w="705"/>
        <w:gridCol w:w="465"/>
        <w:gridCol w:w="465"/>
        <w:gridCol w:w="465"/>
        <w:gridCol w:w="705"/>
        <w:gridCol w:w="465"/>
        <w:gridCol w:w="585"/>
        <w:gridCol w:w="465"/>
        <w:gridCol w:w="585"/>
      </w:tblGrid>
      <w:tr w:rsidR="00A70060" w:rsidRPr="00A70060" w:rsidTr="00A70060">
        <w:trPr>
          <w:tblCellSpacing w:w="0" w:type="dxa"/>
        </w:trPr>
        <w:tc>
          <w:tcPr>
            <w:tcW w:w="12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药效群</w:t>
            </w:r>
          </w:p>
        </w:tc>
        <w:tc>
          <w:tcPr>
            <w:tcW w:w="9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有效成分</w:t>
            </w:r>
          </w:p>
        </w:tc>
        <w:tc>
          <w:tcPr>
            <w:tcW w:w="9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剂型</w:t>
            </w:r>
          </w:p>
        </w:tc>
        <w:tc>
          <w:tcPr>
            <w:tcW w:w="9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特性</w:t>
            </w:r>
          </w:p>
        </w:tc>
        <w:tc>
          <w:tcPr>
            <w:tcW w:w="10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含量</w:t>
            </w:r>
          </w:p>
        </w:tc>
        <w:tc>
          <w:tcPr>
            <w:tcW w:w="6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步骤</w:t>
            </w:r>
          </w:p>
        </w:tc>
        <w:tc>
          <w:tcPr>
            <w:tcW w:w="9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标准</w:t>
            </w:r>
          </w:p>
        </w:tc>
        <w:tc>
          <w:tcPr>
            <w:tcW w:w="10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商品名</w:t>
            </w:r>
          </w:p>
        </w:tc>
        <w:tc>
          <w:tcPr>
            <w:tcW w:w="18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生产（进口）—销售商</w:t>
            </w:r>
          </w:p>
        </w:tc>
        <w:tc>
          <w:tcPr>
            <w:tcW w:w="1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标准</w:t>
            </w:r>
          </w:p>
        </w:tc>
        <w:tc>
          <w:tcPr>
            <w:tcW w:w="1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药价</w:t>
            </w:r>
          </w:p>
        </w:tc>
        <w:tc>
          <w:tcPr>
            <w:tcW w:w="6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编号</w:t>
            </w:r>
          </w:p>
        </w:tc>
        <w:tc>
          <w:tcPr>
            <w:tcW w:w="1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注释</w:t>
            </w:r>
          </w:p>
        </w:tc>
      </w:tr>
      <w:tr w:rsidR="00A70060" w:rsidRPr="00A70060" w:rsidTr="00A70060">
        <w:trPr>
          <w:tblCellSpacing w:w="0" w:type="dxa"/>
        </w:trPr>
        <w:tc>
          <w:tcPr>
            <w:tcW w:w="120" w:type="dxa"/>
            <w:tcBorders>
              <w:top w:val="nil"/>
              <w:left w:val="single" w:sz="6" w:space="0" w:color="000000"/>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111</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A</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1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1</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1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1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10年7月</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1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(注1)</w:t>
            </w:r>
          </w:p>
        </w:tc>
      </w:tr>
      <w:tr w:rsidR="00A70060" w:rsidRPr="00A70060" w:rsidTr="00A70060">
        <w:trPr>
          <w:tblCellSpacing w:w="0" w:type="dxa"/>
        </w:trPr>
        <w:tc>
          <w:tcPr>
            <w:tcW w:w="120" w:type="dxa"/>
            <w:tcBorders>
              <w:top w:val="nil"/>
              <w:left w:val="single" w:sz="6" w:space="0" w:color="000000"/>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90" w:type="dxa"/>
            <w:tcBorders>
              <w:top w:val="nil"/>
              <w:left w:val="nil"/>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B</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片剂</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缓释</w:t>
            </w:r>
          </w:p>
        </w:tc>
        <w:tc>
          <w:tcPr>
            <w:tcW w:w="1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10mg</w:t>
            </w:r>
          </w:p>
        </w:tc>
        <w:tc>
          <w:tcPr>
            <w:tcW w:w="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3</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1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1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11年3月</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12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(注2)</w:t>
            </w:r>
          </w:p>
        </w:tc>
      </w:tr>
      <w:tr w:rsidR="00A70060" w:rsidRPr="00A70060" w:rsidTr="00A70060">
        <w:trPr>
          <w:tblCellSpacing w:w="0" w:type="dxa"/>
        </w:trPr>
        <w:tc>
          <w:tcPr>
            <w:tcW w:w="120" w:type="dxa"/>
            <w:tcBorders>
              <w:top w:val="nil"/>
              <w:left w:val="single" w:sz="6" w:space="0" w:color="000000"/>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胶囊</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缓释</w:t>
            </w:r>
          </w:p>
        </w:tc>
        <w:tc>
          <w:tcPr>
            <w:tcW w:w="1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10mg</w:t>
            </w:r>
          </w:p>
        </w:tc>
        <w:tc>
          <w:tcPr>
            <w:tcW w:w="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3</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1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1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11年3月</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0" w:type="auto"/>
            <w:vMerge/>
            <w:tcBorders>
              <w:top w:val="nil"/>
              <w:left w:val="nil"/>
              <w:bottom w:val="single" w:sz="6" w:space="0" w:color="000000"/>
              <w:right w:val="single" w:sz="6" w:space="0" w:color="000000"/>
            </w:tcBorders>
            <w:vAlign w:val="center"/>
            <w:hideMark/>
          </w:tcPr>
          <w:p w:rsidR="00A70060" w:rsidRPr="00A70060" w:rsidRDefault="00A70060" w:rsidP="00A70060">
            <w:pPr>
              <w:widowControl/>
              <w:jc w:val="left"/>
              <w:rPr>
                <w:rFonts w:ascii="宋体" w:eastAsia="宋体" w:hAnsi="宋体" w:cs="宋体"/>
                <w:color w:val="000000"/>
                <w:kern w:val="0"/>
                <w:sz w:val="18"/>
                <w:szCs w:val="18"/>
              </w:rPr>
            </w:pPr>
          </w:p>
        </w:tc>
      </w:tr>
      <w:tr w:rsidR="00A70060" w:rsidRPr="00A70060" w:rsidTr="00A70060">
        <w:trPr>
          <w:tblCellSpacing w:w="0" w:type="dxa"/>
        </w:trPr>
        <w:tc>
          <w:tcPr>
            <w:tcW w:w="12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C</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片剂</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普通</w:t>
            </w:r>
          </w:p>
        </w:tc>
        <w:tc>
          <w:tcPr>
            <w:tcW w:w="1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50mg</w:t>
            </w:r>
          </w:p>
        </w:tc>
        <w:tc>
          <w:tcPr>
            <w:tcW w:w="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5</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w:t>
            </w:r>
          </w:p>
        </w:tc>
        <w:tc>
          <w:tcPr>
            <w:tcW w:w="1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a片50</w:t>
            </w:r>
          </w:p>
        </w:tc>
        <w:tc>
          <w:tcPr>
            <w:tcW w:w="1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a制剂</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公的</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ΔΔ.Δ0</w:t>
            </w:r>
          </w:p>
        </w:tc>
        <w:tc>
          <w:tcPr>
            <w:tcW w:w="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1</w:t>
            </w:r>
          </w:p>
        </w:tc>
        <w:tc>
          <w:tcPr>
            <w:tcW w:w="1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(注3)</w:t>
            </w:r>
          </w:p>
        </w:tc>
      </w:tr>
      <w:tr w:rsidR="00A70060" w:rsidRPr="00A70060" w:rsidTr="00A70060">
        <w:trPr>
          <w:tblCellSpacing w:w="0" w:type="dxa"/>
        </w:trPr>
        <w:tc>
          <w:tcPr>
            <w:tcW w:w="120" w:type="dxa"/>
            <w:tcBorders>
              <w:top w:val="nil"/>
              <w:left w:val="single" w:sz="6" w:space="0" w:color="000000"/>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112</w:t>
            </w:r>
          </w:p>
        </w:tc>
        <w:tc>
          <w:tcPr>
            <w:tcW w:w="90" w:type="dxa"/>
            <w:tcBorders>
              <w:top w:val="nil"/>
              <w:left w:val="nil"/>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D</w:t>
            </w:r>
          </w:p>
        </w:tc>
        <w:tc>
          <w:tcPr>
            <w:tcW w:w="90" w:type="dxa"/>
            <w:tcBorders>
              <w:top w:val="nil"/>
              <w:left w:val="nil"/>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片剂</w:t>
            </w:r>
          </w:p>
        </w:tc>
        <w:tc>
          <w:tcPr>
            <w:tcW w:w="90" w:type="dxa"/>
            <w:tcBorders>
              <w:top w:val="nil"/>
              <w:left w:val="nil"/>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缓释</w:t>
            </w:r>
          </w:p>
        </w:tc>
        <w:tc>
          <w:tcPr>
            <w:tcW w:w="105" w:type="dxa"/>
            <w:tcBorders>
              <w:top w:val="nil"/>
              <w:left w:val="nil"/>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50mg</w:t>
            </w:r>
          </w:p>
        </w:tc>
        <w:tc>
          <w:tcPr>
            <w:tcW w:w="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5</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﹡a</w:t>
            </w:r>
          </w:p>
        </w:tc>
        <w:tc>
          <w:tcPr>
            <w:tcW w:w="1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b片50</w:t>
            </w:r>
          </w:p>
        </w:tc>
        <w:tc>
          <w:tcPr>
            <w:tcW w:w="1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b制剂</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独自</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ΔΔ.Δ0</w:t>
            </w:r>
          </w:p>
        </w:tc>
        <w:tc>
          <w:tcPr>
            <w:tcW w:w="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2</w:t>
            </w:r>
          </w:p>
        </w:tc>
        <w:tc>
          <w:tcPr>
            <w:tcW w:w="1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(注4)</w:t>
            </w:r>
          </w:p>
        </w:tc>
      </w:tr>
      <w:tr w:rsidR="00A70060" w:rsidRPr="00A70060" w:rsidTr="00A70060">
        <w:trPr>
          <w:tblCellSpacing w:w="0" w:type="dxa"/>
        </w:trPr>
        <w:tc>
          <w:tcPr>
            <w:tcW w:w="120" w:type="dxa"/>
            <w:tcBorders>
              <w:top w:val="nil"/>
              <w:left w:val="single" w:sz="6" w:space="0" w:color="000000"/>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90" w:type="dxa"/>
            <w:tcBorders>
              <w:top w:val="nil"/>
              <w:left w:val="nil"/>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90" w:type="dxa"/>
            <w:tcBorders>
              <w:top w:val="nil"/>
              <w:left w:val="nil"/>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90" w:type="dxa"/>
            <w:tcBorders>
              <w:top w:val="nil"/>
              <w:left w:val="nil"/>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105" w:type="dxa"/>
            <w:tcBorders>
              <w:top w:val="nil"/>
              <w:left w:val="nil"/>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5</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1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c片50</w:t>
            </w:r>
          </w:p>
        </w:tc>
        <w:tc>
          <w:tcPr>
            <w:tcW w:w="1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c制药、—X药品</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公的a</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ΔΔ.Δ0</w:t>
            </w:r>
          </w:p>
        </w:tc>
        <w:tc>
          <w:tcPr>
            <w:tcW w:w="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2</w:t>
            </w:r>
          </w:p>
        </w:tc>
        <w:tc>
          <w:tcPr>
            <w:tcW w:w="1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(注5)</w:t>
            </w:r>
          </w:p>
        </w:tc>
      </w:tr>
      <w:tr w:rsidR="00A70060" w:rsidRPr="00A70060" w:rsidTr="00A70060">
        <w:trPr>
          <w:tblCellSpacing w:w="0" w:type="dxa"/>
        </w:trPr>
        <w:tc>
          <w:tcPr>
            <w:tcW w:w="12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1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5</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﹡b</w:t>
            </w:r>
          </w:p>
        </w:tc>
        <w:tc>
          <w:tcPr>
            <w:tcW w:w="1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d片50</w:t>
            </w:r>
          </w:p>
        </w:tc>
        <w:tc>
          <w:tcPr>
            <w:tcW w:w="1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d制药</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公的b</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ΔΔ.Δ0</w:t>
            </w:r>
          </w:p>
        </w:tc>
        <w:tc>
          <w:tcPr>
            <w:tcW w:w="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2</w:t>
            </w:r>
          </w:p>
        </w:tc>
        <w:tc>
          <w:tcPr>
            <w:tcW w:w="1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(注6)</w:t>
            </w:r>
          </w:p>
        </w:tc>
      </w:tr>
      <w:tr w:rsidR="00A70060" w:rsidRPr="00A70060" w:rsidTr="00A70060">
        <w:trPr>
          <w:tblCellSpacing w:w="0" w:type="dxa"/>
        </w:trPr>
        <w:tc>
          <w:tcPr>
            <w:tcW w:w="120" w:type="dxa"/>
            <w:tcBorders>
              <w:top w:val="nil"/>
              <w:left w:val="single" w:sz="6" w:space="0" w:color="000000"/>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lastRenderedPageBreak/>
              <w:t>113</w:t>
            </w:r>
          </w:p>
        </w:tc>
        <w:tc>
          <w:tcPr>
            <w:tcW w:w="90" w:type="dxa"/>
            <w:tcBorders>
              <w:top w:val="nil"/>
              <w:left w:val="nil"/>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E</w:t>
            </w:r>
          </w:p>
        </w:tc>
        <w:tc>
          <w:tcPr>
            <w:tcW w:w="90" w:type="dxa"/>
            <w:tcBorders>
              <w:top w:val="nil"/>
              <w:left w:val="nil"/>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片剂</w:t>
            </w:r>
          </w:p>
        </w:tc>
        <w:tc>
          <w:tcPr>
            <w:tcW w:w="90" w:type="dxa"/>
            <w:tcBorders>
              <w:top w:val="nil"/>
              <w:left w:val="nil"/>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普通</w:t>
            </w:r>
          </w:p>
        </w:tc>
        <w:tc>
          <w:tcPr>
            <w:tcW w:w="105" w:type="dxa"/>
            <w:tcBorders>
              <w:top w:val="nil"/>
              <w:left w:val="nil"/>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10mg</w:t>
            </w:r>
          </w:p>
        </w:tc>
        <w:tc>
          <w:tcPr>
            <w:tcW w:w="60" w:type="dxa"/>
            <w:tcBorders>
              <w:top w:val="nil"/>
              <w:left w:val="nil"/>
              <w:bottom w:val="single" w:sz="6" w:space="0" w:color="000000"/>
              <w:right w:val="single" w:sz="6" w:space="0" w:color="000000"/>
            </w:tcBorders>
            <w:shd w:val="clear" w:color="auto" w:fill="DDDDDD"/>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5</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w:t>
            </w:r>
          </w:p>
        </w:tc>
        <w:tc>
          <w:tcPr>
            <w:tcW w:w="1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e片50</w:t>
            </w:r>
          </w:p>
        </w:tc>
        <w:tc>
          <w:tcPr>
            <w:tcW w:w="1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e制药</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公的</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ΔΔ.Δ0</w:t>
            </w:r>
          </w:p>
        </w:tc>
        <w:tc>
          <w:tcPr>
            <w:tcW w:w="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25</w:t>
            </w:r>
          </w:p>
        </w:tc>
        <w:tc>
          <w:tcPr>
            <w:tcW w:w="120" w:type="dxa"/>
            <w:tcBorders>
              <w:top w:val="nil"/>
              <w:left w:val="nil"/>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r>
      <w:tr w:rsidR="00A70060" w:rsidRPr="00A70060" w:rsidTr="00A70060">
        <w:trPr>
          <w:tblCellSpacing w:w="0" w:type="dxa"/>
        </w:trPr>
        <w:tc>
          <w:tcPr>
            <w:tcW w:w="120" w:type="dxa"/>
            <w:tcBorders>
              <w:top w:val="nil"/>
              <w:left w:val="single" w:sz="6" w:space="0" w:color="000000"/>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90" w:type="dxa"/>
            <w:tcBorders>
              <w:top w:val="nil"/>
              <w:left w:val="nil"/>
              <w:bottom w:val="nil"/>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1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60" w:type="dxa"/>
            <w:tcBorders>
              <w:top w:val="nil"/>
              <w:left w:val="nil"/>
              <w:bottom w:val="single" w:sz="6" w:space="0" w:color="000000"/>
              <w:right w:val="single" w:sz="6" w:space="0" w:color="000000"/>
            </w:tcBorders>
            <w:shd w:val="clear" w:color="auto" w:fill="DDDDDD"/>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5</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1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f片50</w:t>
            </w:r>
          </w:p>
        </w:tc>
        <w:tc>
          <w:tcPr>
            <w:tcW w:w="1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f制药</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公的</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ΔΔ.Δ0</w:t>
            </w:r>
          </w:p>
        </w:tc>
        <w:tc>
          <w:tcPr>
            <w:tcW w:w="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25</w:t>
            </w:r>
          </w:p>
        </w:tc>
        <w:tc>
          <w:tcPr>
            <w:tcW w:w="1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r>
      <w:tr w:rsidR="00A70060" w:rsidRPr="00A70060" w:rsidTr="00A70060">
        <w:trPr>
          <w:tblCellSpacing w:w="0" w:type="dxa"/>
        </w:trPr>
        <w:tc>
          <w:tcPr>
            <w:tcW w:w="12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00" w:lineRule="atLeast"/>
              <w:jc w:val="left"/>
              <w:rPr>
                <w:rFonts w:ascii="宋体" w:eastAsia="宋体" w:hAnsi="宋体" w:cs="宋体" w:hint="eastAsia"/>
                <w:color w:val="000000"/>
                <w:kern w:val="0"/>
                <w:sz w:val="18"/>
                <w:szCs w:val="18"/>
              </w:rPr>
            </w:pPr>
            <w:r w:rsidRPr="00A70060">
              <w:rPr>
                <w:rFonts w:ascii="MS Gothic" w:eastAsia="MS Gothic" w:hAnsi="MS Gothic" w:cs="MS Gothic" w:hint="eastAsia"/>
                <w:color w:val="000000"/>
                <w:kern w:val="0"/>
                <w:sz w:val="18"/>
                <w:szCs w:val="18"/>
              </w:rPr>
              <w:t>​</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胶囊</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普通</w:t>
            </w:r>
          </w:p>
        </w:tc>
        <w:tc>
          <w:tcPr>
            <w:tcW w:w="1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10mg</w:t>
            </w:r>
          </w:p>
        </w:tc>
        <w:tc>
          <w:tcPr>
            <w:tcW w:w="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5</w:t>
            </w:r>
          </w:p>
        </w:tc>
        <w:tc>
          <w:tcPr>
            <w:tcW w:w="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w:t>
            </w:r>
          </w:p>
        </w:tc>
        <w:tc>
          <w:tcPr>
            <w:tcW w:w="1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g 50</w:t>
            </w:r>
          </w:p>
        </w:tc>
        <w:tc>
          <w:tcPr>
            <w:tcW w:w="1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g制药—Y药品</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公的</w:t>
            </w:r>
          </w:p>
        </w:tc>
        <w:tc>
          <w:tcPr>
            <w:tcW w:w="1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ΔΔ.Δ0</w:t>
            </w:r>
          </w:p>
        </w:tc>
        <w:tc>
          <w:tcPr>
            <w:tcW w:w="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4</w:t>
            </w:r>
          </w:p>
        </w:tc>
        <w:tc>
          <w:tcPr>
            <w:tcW w:w="1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70060" w:rsidRPr="00A70060" w:rsidRDefault="00A70060" w:rsidP="00A70060">
            <w:pPr>
              <w:widowControl/>
              <w:spacing w:line="360" w:lineRule="atLeast"/>
              <w:jc w:val="left"/>
              <w:rPr>
                <w:rFonts w:ascii="宋体" w:eastAsia="宋体" w:hAnsi="宋体" w:cs="宋体" w:hint="eastAsia"/>
                <w:color w:val="000000"/>
                <w:kern w:val="0"/>
                <w:sz w:val="18"/>
                <w:szCs w:val="18"/>
              </w:rPr>
            </w:pPr>
            <w:r w:rsidRPr="00A70060">
              <w:rPr>
                <w:rFonts w:ascii="宋体" w:eastAsia="宋体" w:hAnsi="宋体" w:cs="宋体" w:hint="eastAsia"/>
                <w:color w:val="000000"/>
                <w:kern w:val="0"/>
                <w:sz w:val="24"/>
                <w:szCs w:val="24"/>
              </w:rPr>
              <w:t>(注7)</w:t>
            </w:r>
          </w:p>
        </w:tc>
      </w:tr>
    </w:tbl>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（注1）步骤1、步骤2中，记载成分名、步骤、按年号记载进入到该步骤的年和月。</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（注2）步骤3以后，分别记载剂型和含量。</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（注3）步骤5以后，标明商品名和生产销售商名称。</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（注4）有合理的理由，与政府发布的溶出试验方法不同，设定特有标准的原研药品。</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（注5）单独进行剂量探索试验的，在标准栏中即使相同剂型、相同含量，也只有原研表示为﹡后面加a、b…。</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（注6）步骤5中带网点的项目，为此次进行到步骤5的项目.</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（注7）在参比制剂中，实施了剂量探索等临床试验的标记为“﹡”，确认与原研药具有生物等效性的标记为“＋”。如果实施临床试验的原研药暂停生产，在同一成分中也有不存在“﹡”的情况。</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（4）有效成分的名称</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关于有效成分的名称，根据平成18年（2006年）厚生劳动省告示第二百八十五号《日本药典》规定，变更为日本名命名法，之后，平成18年3月31日药食审发第0331013号厚生劳动省医药食品局审查管理课长通知（以下简称“课长通知”）另发文件规定了《关于按照日本药典变更为日本名 命名法医药品一般名称（JAN）的处理方法》。本书中原则上使用平成18年3月31日以前的名称，如有必要，按照“课长通知”文件中的命名法适当更改。</w:t>
      </w:r>
    </w:p>
    <w:p w:rsidR="00A70060" w:rsidRPr="00A70060" w:rsidRDefault="00A70060" w:rsidP="00A70060">
      <w:pPr>
        <w:widowControl/>
        <w:shd w:val="clear" w:color="auto" w:fill="FFFFFF"/>
        <w:spacing w:line="420" w:lineRule="atLeast"/>
        <w:jc w:val="left"/>
        <w:rPr>
          <w:rFonts w:ascii="宋体" w:eastAsia="宋体" w:hAnsi="宋体" w:cs="宋体" w:hint="eastAsia"/>
          <w:color w:val="000000"/>
          <w:kern w:val="0"/>
          <w:szCs w:val="21"/>
        </w:rPr>
      </w:pPr>
      <w:r w:rsidRPr="00A70060">
        <w:rPr>
          <w:rFonts w:ascii="宋体" w:eastAsia="宋体" w:hAnsi="宋体" w:cs="宋体" w:hint="eastAsia"/>
          <w:color w:val="000000"/>
          <w:kern w:val="0"/>
          <w:sz w:val="24"/>
          <w:szCs w:val="24"/>
        </w:rPr>
        <w:t>另外，再评价指定通知等如使用新名称，用括号标记新名称。</w:t>
      </w:r>
    </w:p>
    <w:p w:rsidR="00B26662" w:rsidRPr="00A70060" w:rsidRDefault="00B26662">
      <w:bookmarkStart w:id="9" w:name="_GoBack"/>
      <w:bookmarkEnd w:id="9"/>
    </w:p>
    <w:sectPr w:rsidR="00B26662" w:rsidRPr="00A70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60"/>
    <w:rsid w:val="00A70060"/>
    <w:rsid w:val="00B26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82402-C0E3-4289-9B97-88E1AFE0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0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5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 Ya</dc:creator>
  <cp:keywords/>
  <dc:description/>
  <cp:lastModifiedBy>Za Ya</cp:lastModifiedBy>
  <cp:revision>1</cp:revision>
  <dcterms:created xsi:type="dcterms:W3CDTF">2019-02-15T06:34:00Z</dcterms:created>
  <dcterms:modified xsi:type="dcterms:W3CDTF">2019-02-15T06:35:00Z</dcterms:modified>
</cp:coreProperties>
</file>