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90"/>
        <w:ind/>
        <w:rPr/>
      </w:pPr>
    </w:p>
    <w:p w:rsidR="005A76FB" w:rsidRDefault="005A76FB" w:rsidP="005A76FB">
      <w:pPr>
        <w:widowControl/>
        <w:jc w:val="left"/>
        <w:rPr/>
        <w:sectPr w:rsidR="005A76FB" w:rsidSect="005A76FB">
          <w:type w:val="continuous"/>
          <w:pgSz w:w="11904" w:h="16839"/>
          <w:pgMar w:top="950" w:right="1374" w:bottom="710" w:left="1734" w:header="0" w:footer="0" w:gutter="0"/>
          <w:docGrid w:type="lines" w:linePitch="312"/>
        </w:sectPr>
      </w:pPr>
    </w:p>
    <w:p w:rsidR="005A76FB" w:rsidRDefault="005A76FB" w:rsidP="005A76FB">
      <w:pPr>
        <w:spacing w:before="0" w:after="0" w:line="321" w:lineRule="exact"/>
        <w:ind w:left="66" w:firstLine="638"/>
        <w:jc w:val="left"/>
        <w:rPr/>
      </w:pPr>
      <w:r>
        <w:rPr>
          <w:noProof/>
        </w:rPr>
        <w:pict>
          <v:shape id="imagerId6" type="#_x0000_t75" style="position:absolute;margin-left:154pt;margin-top:129pt;width:309pt;height:26pt;z-index:-251658079;mso-position-horizontal-relative:page;mso-position-vertical-relative:page">
            <v:imagedata r:id="rId6" o:title=""/>
          </v:shape>
        </w:pict>
      </w:r>
      <w:r>
        <w:rPr>
          <w:noProof/>
        </w:rPr>
        <w:pict>
          <v:shape id="imagerId7" type="#_x0000_t75" style="position:absolute;margin-left:186pt;margin-top:191pt;width:245pt;height:27pt;z-index:-251658078;mso-position-horizontal-relative:page;mso-position-vertical-relative:page">
            <v:imagedata r:id="rId7" o:title=""/>
          </v:shape>
        </w:pict>
      </w:r>
      <w:r>
        <w:rPr>
          <w:noProof/>
        </w:rPr>
        <w:pict>
          <v:shape id="imagerId8" type="#_x0000_t75" style="position:absolute;margin-left:187pt;margin-top:264pt;width:243pt;height:26pt;z-index:-251658077;mso-position-horizontal-relative:page;mso-position-vertical-relative:page">
            <v:imagedata r:id="rId8" o:title=""/>
          </v:shape>
        </w:pict>
      </w:r>
      <w:r>
        <w:rPr>
          <w:noProof/>
        </w:rPr>
        <w:pict>
          <v:shape id="imagerId9" type="#_x0000_t75" style="position:absolute;margin-left:286pt;margin-top:311pt;width:36pt;height:26pt;z-index:-251658076;mso-position-horizontal-relative:page;mso-position-vertical-relative:page">
            <v:imagedata r:id="rId9" o:title=""/>
          </v:shape>
        </w:pict>
      </w:r>
      <w:r>
        <w:rPr>
          <w:noProof/>
        </w:rPr>
        <w:pict>
          <v:shape id="imagerId10" type="#_x0000_t75" style="position:absolute;margin-left:154pt;margin-top:357pt;width:309pt;height:26pt;z-index:-251658075;mso-position-horizontal-relative:page;mso-position-vertical-relative:page">
            <v:imagedata r:id="rId10" o:title=""/>
          </v:shape>
        </w:pict>
      </w:r>
      <w:r>
        <w:rPr>
          <w:noProof/>
        </w:rPr>
        <w:pict>
          <v:shape id="imagerId11" type="#_x0000_t75" style="position:absolute;margin-left:229pt;margin-top:435pt;width:153pt;height:19pt;z-index:-251658074;mso-position-horizontal-relative:page;mso-position-vertical-relative:page">
            <v:imagedata r:id="rId11" o:title=""/>
          </v:shape>
        </w:pict>
      </w:r>
      <w:r>
        <w:rPr>
          <w:noProof/>
        </w:rPr>
        <w:pict>
          <v:shape id="imagerId12" type="#_x0000_t75" style="position:absolute;margin-left:197pt;margin-top:466pt;width:217pt;height:20pt;z-index:-251658073;mso-position-horizontal-relative:page;mso-position-vertical-relative:page">
            <v:imagedata r:id="rId12" o:title=""/>
          </v:shape>
        </w:pict>
      </w:r>
      <w:r>
        <w:rPr>
          <w:noProof/>
        </w:rPr>
        <w:pict>
          <v:shapetype id="polygon49" coordsize="41386,14672" o:spt="12" path="m 0,14672 l 0,14672,41386,14672 l 41386,14672,41386,0 l 41386,0,0,0 l 0,0,0,14672e x">
            <v:stroke joinstyle="miter"/>
          </v:shapetype>
          <v:shape id="WS_polygon49" type="polygon49" style="position:absolute;left:0;text-align:left;margin-left:90.8095pt;margin-top:249.687pt;width:413.861pt;height:146.719pt;z-index:-251658087;mso-position-horizontal-relative:page;mso-position-vertical-relative:page" stroked="f">
            <v:fill color="#ffffff"/>
          </v:shape>
        </w:pict>
      </w:r>
      <w:r>
        <w:rPr>
          <w:noProof/>
        </w:rPr>
        <w:pict>
          <v:shapetype id="polygon50" coordsize="41486,14772" o:spt="12" path="m 50,14722 l 50,14722,41436,14722 l 41436,14722,41436,50 l 41436,50,50,50 l 50,50,50,14722e x">
            <v:stroke joinstyle="miter"/>
          </v:shapetype>
          <v:shape id="WS_polygon50" type="polygon50" style="position:absolute;left:0;text-align:left;margin-left:90.3095pt;margin-top:249.187pt;width:414.861pt;height:147.719pt;z-index:-251658086;mso-position-horizontal-relative:page;mso-position-vertical-relative:page" strokecolor="#000000" strokeweight="1pt">
            <v:fill opacity="0"/>
          </v:shape>
        </w:pict>
      </w:r>
      <w:r>
        <w:rPr>
          <w:rFonts w:ascii="仿宋" w:eastAsia="仿宋" w:hAnsi="仿宋" w:cs="仿宋"/>
          <w:u w:val="none"/>
          <w:sz w:val="32"/>
          <w:position w:val="0"/>
          <w:color w:val="000000"/>
          <w:noProof w:val="true"/>
          <w:spacing w:val="-6"/>
          <w:w w:val="100"/>
        </w:rPr>
        <w:t>该指导原则由相应的</w:t>
      </w:r>
      <w:r>
        <w:rPr>
          <w:rFonts w:ascii="仿宋" w:hAnsi="仿宋" w:cs="仿宋"/>
          <w:u w:val="none"/>
          <w:sz w:val="32"/>
          <w:position w:val="0"/>
          <w:color w:val="000000"/>
          <w:noProof w:val="true"/>
          <w:spacing w:val="-5"/>
          <w:w w:val="100"/>
        </w:rPr>
        <w:t>ICH</w:t>
      </w:r>
      <w:r>
        <w:rPr>
          <w:rFonts w:ascii="仿宋" w:eastAsia="仿宋" w:hAnsi="仿宋" w:cs="仿宋"/>
          <w:u w:val="none"/>
          <w:sz w:val="32"/>
          <w:position w:val="0"/>
          <w:color w:val="000000"/>
          <w:noProof w:val="true"/>
          <w:spacing w:val="-6"/>
          <w:w w:val="100"/>
        </w:rPr>
        <w:t>专家小组制定，按照</w:t>
      </w:r>
      <w:r>
        <w:rPr>
          <w:rFonts w:ascii="仿宋" w:hAnsi="仿宋" w:cs="仿宋"/>
          <w:u w:val="none"/>
          <w:sz w:val="32"/>
          <w:position w:val="0"/>
          <w:color w:val="000000"/>
          <w:noProof w:val="true"/>
          <w:spacing w:val="-5"/>
          <w:w w:val="100"/>
        </w:rPr>
        <w:t>ICH</w:t>
      </w:r>
      <w:r>
        <w:rPr>
          <w:rFonts w:ascii="仿宋" w:eastAsia="仿宋" w:hAnsi="仿宋" w:cs="仿宋"/>
          <w:u w:val="none"/>
          <w:sz w:val="32"/>
          <w:position w:val="0"/>
          <w:color w:val="000000"/>
          <w:noProof w:val="true"/>
          <w:spacing w:val="-5"/>
          <w:w w:val="100"/>
        </w:rPr>
        <w:t>进</w:t>
      </w:r>
    </w:p>
    <w:p w:rsidR="005A76FB" w:rsidRDefault="005A76FB" w:rsidP="005A76FB">
      <w:pPr>
        <w:spacing w:before="0" w:after="0" w:lineRule="exact" w:line="240"/>
        <w:ind w:left="66" w:firstLine="638"/>
        <w:rPr/>
      </w:pPr>
    </w:p>
    <w:p w:rsidR="005A76FB" w:rsidRDefault="005A76FB" w:rsidP="005A76FB">
      <w:pPr>
        <w:spacing w:before="0" w:after="0" w:line="383" w:lineRule="exact"/>
        <w:ind w:firstLine="0" w:left="66"/>
        <w:jc w:val="left"/>
        <w:rPr/>
      </w:pPr>
      <w:r>
        <w:rPr>
          <w:rFonts w:ascii="仿宋" w:hAnsi="仿宋" w:cs="仿宋"/>
          <w:u w:val="none"/>
          <w:sz w:val="32"/>
          <w:position w:val="0"/>
          <w:color w:val="000000"/>
          <w:noProof w:val="true"/>
          <w:spacing w:val="-6"/>
          <w:w w:val="100"/>
        </w:rPr>
        <w:t>程，已递交管理部门讨论。在</w:t>
      </w:r>
      <w:r>
        <w:rPr>
          <w:rFonts w:ascii="仿宋" w:hAnsi="仿宋" w:cs="仿宋"/>
          <w:u w:val="none"/>
          <w:sz w:val="32"/>
          <w:position w:val="0"/>
          <w:color w:val="000000"/>
          <w:noProof w:val="true"/>
          <w:spacing w:val="-5"/>
          <w:w w:val="100"/>
        </w:rPr>
        <w:t>ICH</w:t>
      </w:r>
      <w:r>
        <w:rPr>
          <w:rFonts w:ascii="仿宋" w:eastAsia="仿宋" w:hAnsi="仿宋" w:cs="仿宋"/>
          <w:u w:val="none"/>
          <w:sz w:val="32"/>
          <w:position w:val="0"/>
          <w:color w:val="000000"/>
          <w:noProof w:val="true"/>
          <w:spacing w:val="-7"/>
          <w:w w:val="100"/>
        </w:rPr>
        <w:t>进程第四阶段，最终草案</w:t>
      </w:r>
    </w:p>
    <w:p w:rsidR="005A76FB" w:rsidRDefault="005A76FB" w:rsidP="005A76FB">
      <w:pPr>
        <w:spacing w:before="0" w:after="0" w:lineRule="exact" w:line="240"/>
        <w:ind w:firstLine="0" w:left="66"/>
        <w:rPr/>
      </w:pPr>
    </w:p>
    <w:p w:rsidR="005A76FB" w:rsidRDefault="005A76FB" w:rsidP="005A76FB">
      <w:pPr>
        <w:spacing w:before="0" w:after="0" w:line="383" w:lineRule="exact"/>
        <w:ind w:firstLine="0" w:left="66"/>
        <w:jc w:val="left"/>
        <w:rPr/>
      </w:pPr>
      <w:r>
        <w:rPr>
          <w:rFonts w:ascii="仿宋" w:hAnsi="仿宋" w:cs="仿宋"/>
          <w:u w:val="none"/>
          <w:sz w:val="32"/>
          <w:position w:val="0"/>
          <w:color w:val="000000"/>
          <w:noProof w:val="true"/>
          <w:spacing w:val="-7"/>
          <w:w w:val="100"/>
        </w:rPr>
        <w:t>被推荐给欧盟、日本和美国的管理机构采纳。</w:t>
      </w:r>
    </w:p>
    <w:p w:rsidR="005A76FB" w:rsidRDefault="005A76FB" w:rsidP="005A76FB">
      <w:pPr>
        <w:widowControl/>
        <w:jc w:val="left"/>
        <w:rPr/>
        <w:sectPr w:rsidR="005A76FB" w:rsidSect="005A76FB">
          <w:type w:val="continuous"/>
          <w:pgSz w:w="11904" w:h="16839"/>
          <w:pgMar w:top="950" w:right="1374" w:bottom="710" w:left="1734" w:header="0" w:footer="0" w:gutter="0"/>
          <w:cols w:num="1" w:equalWidth="0">
            <w:col w:w="8796" w:space="0"/>
          </w:cols>
          <w:docGrid w:type="lines" w:linePitch="312"/>
        </w:sectPr>
      </w:pPr>
    </w:p>
    <w:p w:rsidR="005A76FB" w:rsidRDefault="005A76FB" w:rsidP="005A76FB">
      <w:pPr>
        <w:spacing w:before="0" w:after="0" w:lineRule="exact" w:line="339"/>
        <w:ind w:firstLine="0" w:left="66"/>
        <w:rPr/>
      </w:pPr>
    </w:p>
    <w:p w:rsidR="005A76FB" w:rsidRDefault="005A76FB" w:rsidP="005A76FB">
      <w:pPr>
        <w:widowControl/>
        <w:jc w:val="left"/>
        <w:rPr/>
        <w:sectPr w:rsidR="005A76FB" w:rsidSect="005A76FB">
          <w:type w:val="continuous"/>
          <w:pgSz w:w="11904" w:h="16839"/>
          <w:pgMar w:top="950" w:right="1374" w:bottom="710" w:left="1734" w:header="0" w:footer="0" w:gutter="0"/>
          <w:docGrid w:type="lines" w:linePitch="312"/>
        </w:sectPr>
      </w:pPr>
    </w:p>
    <w:p w:rsidR="005A76FB" w:rsidRDefault="005A76FB" w:rsidP="005A76FB">
      <w:pPr>
        <w:spacing w:before="0" w:after="0" w:line="202" w:lineRule="exact"/>
        <w:ind w:firstLine="0" w:left="8284"/>
        <w:jc w:val="left"/>
        <w:rPr/>
      </w:pPr>
      <w:r>
        <w:rPr>
          <w:rFonts w:ascii="Times New Roman" w:hAnsi="Times New Roman" w:cs="Times New Roman"/>
          <w:u w:val="none"/>
          <w:sz w:val="18"/>
          <w:position w:val="0"/>
          <w:color w:val="000000"/>
          <w:noProof w:val="true"/>
          <w:spacing w:val="-3"/>
          <w:w w:val="100"/>
        </w:rPr>
        <w:t>1</w:t>
      </w:r>
    </w:p>
    <w:p w:rsidR="005A76FB" w:rsidRDefault="005A76FB" w:rsidP="005A76FB">
      <w:pPr>
        <w:widowControl/>
        <w:jc w:val="left"/>
        <w:rPr/>
        <w:sectPr w:rsidR="005A76FB" w:rsidSect="005A76FB">
          <w:type w:val="continuous"/>
          <w:pgSz w:w="11904" w:h="16839"/>
          <w:pgMar w:top="950" w:right="1374" w:bottom="710" w:left="1734" w:header="0" w:footer="0" w:gutter="0"/>
          <w:cols w:num="1" w:equalWidth="0">
            <w:col w:w="8796" w:space="0"/>
          </w:cols>
          <w:docGrid w:type="lines" w:linePitch="312"/>
        </w:sectPr>
      </w:pPr>
    </w:p>
    <w:bookmarkStart w:id="2" w:name="2"/>
    <w:bookmarkEnd w:id="2"/>
    <w:tbl>
      <w:tblPr>
        <w:tblStyle w:val="a6"/>
        <w:tblpPr w:leftFromText="180" w:rightFromText="180" vertAnchor="page" horzAnchor="page" w:tblpX="66" w:tblpY="1390"/>
        <w:tblW w:w="0" w:type="auto"/>
        <w:tblLayout w:type="fixed"/>
        <w:tblLook w:val="04A0"/>
      </w:tblPr>
      <w:tblGrid>
        <w:gridCol w:w="3020"/>
        <w:gridCol w:w="3019"/>
        <w:gridCol w:w="3025"/>
      </w:tblGrid>
      <w:tr w:rsidR="00AD10A2" w:rsidTr="00CB73A4">
        <w:trPr>
          <w:trHeight w:hRule="exact" w:val="634"/>
        </w:trPr>
        <w:tc>
          <w:tcPr>
            <w:tcW w:w="30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7" w:lineRule="exact"/>
              <w:ind w:left="951" w:right="-239"/>
              <w:rPr/>
            </w:pPr>
            <w:r>
              <w:rPr>
                <w:rFonts w:ascii="仿宋" w:eastAsia="仿宋" w:hAnsi="仿宋" w:cs="仿宋"/>
                <w:u w:val="none"/>
                <w:sz w:val="28"/>
                <w:position w:val="0"/>
                <w:color w:val="000000"/>
                <w:noProof w:val="true"/>
                <w:spacing w:val="-5"/>
                <w:w w:val="100"/>
              </w:rPr>
              <w:t>最初版本</w:t>
            </w:r>
          </w:p>
        </w:tc>
        <w:tc>
          <w:tcPr>
            <w:tcW w:w="30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7" w:lineRule="exact"/>
              <w:ind w:left="1229" w:right="-239"/>
              <w:rPr/>
            </w:pPr>
            <w:r>
              <w:rPr>
                <w:rFonts w:ascii="仿宋" w:eastAsia="仿宋" w:hAnsi="仿宋" w:cs="仿宋"/>
                <w:u w:val="none"/>
                <w:sz w:val="28"/>
                <w:position w:val="0"/>
                <w:color w:val="000000"/>
                <w:noProof w:val="true"/>
                <w:spacing w:val="-5"/>
                <w:w w:val="100"/>
              </w:rPr>
              <w:t>历史</w:t>
            </w:r>
          </w:p>
        </w:tc>
        <w:tc>
          <w:tcPr>
            <w:tcW w:w="30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7" w:lineRule="exact"/>
              <w:ind w:left="1229" w:right="-239"/>
              <w:rPr/>
            </w:pPr>
            <w:r>
              <w:rPr>
                <w:rFonts w:ascii="仿宋" w:eastAsia="仿宋" w:hAnsi="仿宋" w:cs="仿宋"/>
                <w:u w:val="none"/>
                <w:sz w:val="28"/>
                <w:position w:val="0"/>
                <w:color w:val="000000"/>
                <w:noProof w:val="true"/>
                <w:spacing w:val="-5"/>
                <w:w w:val="100"/>
              </w:rPr>
              <w:t>日期</w:t>
            </w:r>
          </w:p>
        </w:tc>
      </w:tr>
      <w:tr w:rsidR="00AD10A2" w:rsidTr="00CB73A4">
        <w:trPr>
          <w:trHeight w:hRule="exact" w:val="1885"/>
        </w:trPr>
        <w:tc>
          <w:tcPr>
            <w:tcW w:w="30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6" w:lineRule="exact"/>
              <w:ind w:left="1373" w:right="-239"/>
              <w:rPr/>
            </w:pPr>
            <w:r>
              <w:rPr>
                <w:rFonts w:ascii="仿宋" w:hAnsi="仿宋" w:cs="仿宋"/>
                <w:u w:val="none"/>
                <w:sz w:val="28"/>
                <w:position w:val="0"/>
                <w:color w:val="000000"/>
                <w:noProof w:val="true"/>
                <w:spacing w:val="-3"/>
                <w:w w:val="100"/>
              </w:rPr>
              <w:t>S9</w:t>
            </w:r>
          </w:p>
        </w:tc>
        <w:tc>
          <w:tcPr>
            <w:tcW w:w="30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6" w:lineRule="exact"/>
              <w:ind w:left="110" w:right="-239"/>
              <w:rPr/>
            </w:pPr>
            <w:r>
              <w:rPr>
                <w:rFonts w:ascii="仿宋" w:eastAsia="仿宋" w:hAnsi="仿宋" w:cs="仿宋"/>
                <w:u w:val="none"/>
                <w:sz w:val="28"/>
                <w:position w:val="0"/>
                <w:color w:val="000000"/>
                <w:noProof w:val="true"/>
                <w:spacing w:val="-4"/>
                <w:w w:val="100"/>
              </w:rPr>
              <w:t>指导委员会批准进入第</w:t>
            </w:r>
          </w:p>
          <w:p w:rsidR="005A76FB" w:rsidRDefault="005A76FB" w:rsidP="005A76FB">
            <w:pPr>
              <w:spacing w:before="0" w:after="0" w:line="240" w:lineRule="exact"/>
              <w:ind w:left="110" w:right="-239"/>
              <w:rPr/>
            </w:pPr>
          </w:p>
          <w:p w:rsidR="005A76FB" w:rsidRDefault="005A76FB" w:rsidP="005A76FB">
            <w:pPr>
              <w:spacing w:before="0" w:after="0" w:line="383" w:lineRule="exact"/>
              <w:ind w:left="110" w:right="-239"/>
              <w:rPr/>
            </w:pPr>
            <w:r>
              <w:rPr>
                <w:rFonts w:ascii="仿宋" w:eastAsia="仿宋" w:hAnsi="仿宋" w:cs="仿宋"/>
                <w:u w:val="none"/>
                <w:sz w:val="28"/>
                <w:position w:val="0"/>
                <w:color w:val="000000"/>
                <w:noProof w:val="true"/>
                <w:spacing w:val="-4"/>
                <w:w w:val="100"/>
              </w:rPr>
              <w:t>二阶段，并发布以公开</w:t>
            </w:r>
          </w:p>
          <w:p w:rsidR="005A76FB" w:rsidRDefault="005A76FB" w:rsidP="005A76FB">
            <w:pPr>
              <w:spacing w:before="0" w:after="0" w:line="240" w:lineRule="exact"/>
              <w:ind w:left="110" w:right="-239"/>
              <w:rPr/>
            </w:pPr>
          </w:p>
          <w:p w:rsidR="005A76FB" w:rsidRDefault="005A76FB" w:rsidP="005A76FB">
            <w:pPr>
              <w:spacing w:before="0" w:after="0" w:line="384" w:lineRule="exact"/>
              <w:ind w:left="110" w:right="-239"/>
              <w:rPr/>
            </w:pPr>
            <w:r>
              <w:rPr>
                <w:rFonts w:ascii="仿宋" w:hAnsi="仿宋" w:cs="仿宋"/>
                <w:u w:val="none"/>
                <w:sz w:val="28"/>
                <w:position w:val="0"/>
                <w:color w:val="000000"/>
                <w:noProof w:val="true"/>
                <w:spacing w:val="-4"/>
                <w:w w:val="100"/>
              </w:rPr>
              <w:t>征询意见。</w:t>
            </w:r>
          </w:p>
        </w:tc>
        <w:tc>
          <w:tcPr>
            <w:tcW w:w="30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6" w:lineRule="exact"/>
              <w:ind w:left="533" w:right="-239"/>
              <w:rPr/>
            </w:pPr>
            <w:r>
              <w:rPr>
                <w:rFonts w:ascii="仿宋" w:hAnsi="仿宋" w:cs="仿宋"/>
                <w:u w:val="none"/>
                <w:sz w:val="28"/>
                <w:position w:val="0"/>
                <w:color w:val="000000"/>
                <w:noProof w:val="true"/>
                <w:spacing w:val="-3"/>
                <w:w w:val="100"/>
              </w:rPr>
              <w:t>2008</w:t>
            </w:r>
            <w:r>
              <w:rPr>
                <w:rFonts w:ascii="仿宋" w:eastAsia="仿宋" w:hAnsi="仿宋" w:cs="仿宋"/>
                <w:u w:val="none"/>
                <w:sz w:val="28"/>
                <w:position w:val="0"/>
                <w:color w:val="000000"/>
                <w:noProof w:val="true"/>
                <w:spacing w:val="-5"/>
                <w:w w:val="100"/>
              </w:rPr>
              <w:t>年</w:t>
            </w:r>
            <w:r>
              <w:rPr>
                <w:rFonts w:ascii="仿宋" w:hAnsi="仿宋" w:cs="仿宋"/>
                <w:u w:val="none"/>
                <w:sz w:val="28"/>
                <w:position w:val="0"/>
                <w:color w:val="000000"/>
                <w:noProof w:val="true"/>
                <w:spacing w:val="-3"/>
                <w:w w:val="100"/>
              </w:rPr>
              <w:t>11</w:t>
            </w:r>
            <w:r>
              <w:rPr>
                <w:rFonts w:ascii="仿宋" w:eastAsia="仿宋" w:hAnsi="仿宋" w:cs="仿宋"/>
                <w:u w:val="none"/>
                <w:sz w:val="28"/>
                <w:position w:val="0"/>
                <w:color w:val="000000"/>
                <w:noProof w:val="true"/>
                <w:spacing w:val="-5"/>
                <w:w w:val="100"/>
              </w:rPr>
              <w:t>月</w:t>
            </w:r>
            <w:r>
              <w:rPr>
                <w:rFonts w:ascii="仿宋" w:hAnsi="仿宋" w:cs="仿宋"/>
                <w:u w:val="none"/>
                <w:sz w:val="28"/>
                <w:position w:val="0"/>
                <w:color w:val="000000"/>
                <w:noProof w:val="true"/>
                <w:spacing w:val="-3"/>
                <w:w w:val="100"/>
              </w:rPr>
              <w:t>13</w:t>
            </w:r>
            <w:r>
              <w:rPr>
                <w:rFonts w:ascii="仿宋" w:eastAsia="仿宋" w:hAnsi="仿宋" w:cs="仿宋"/>
                <w:u w:val="none"/>
                <w:sz w:val="28"/>
                <w:position w:val="0"/>
                <w:color w:val="000000"/>
                <w:noProof w:val="true"/>
                <w:spacing w:val="-5"/>
                <w:w w:val="100"/>
              </w:rPr>
              <w:t>日</w:t>
            </w:r>
          </w:p>
        </w:tc>
      </w:tr>
    </w:tbl>
    <w:tbl>
      <w:tblPr>
        <w:tblStyle w:val="a6"/>
        <w:tblpPr w:leftFromText="180" w:rightFromText="180" vertAnchor="page" horzAnchor="page" w:tblpX="66" w:tblpY="5007"/>
        <w:tblW w:w="0" w:type="auto"/>
        <w:tblLayout w:type="fixed"/>
        <w:tblLook w:val="04A0"/>
      </w:tblPr>
      <w:tblGrid>
        <w:gridCol w:w="3020"/>
        <w:gridCol w:w="3019"/>
        <w:gridCol w:w="3025"/>
      </w:tblGrid>
      <w:tr w:rsidR="00AD10A2" w:rsidTr="00CB73A4">
        <w:trPr>
          <w:trHeight w:hRule="exact" w:val="1880"/>
        </w:trPr>
        <w:tc>
          <w:tcPr>
            <w:tcW w:w="30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6" w:lineRule="exact"/>
              <w:ind w:left="1373" w:right="-239"/>
              <w:rPr/>
            </w:pPr>
            <w:r>
              <w:rPr>
                <w:rFonts w:ascii="仿宋" w:hAnsi="仿宋" w:cs="仿宋"/>
                <w:u w:val="none"/>
                <w:sz w:val="28"/>
                <w:position w:val="0"/>
                <w:color w:val="000000"/>
                <w:noProof w:val="true"/>
                <w:spacing w:val="-3"/>
                <w:w w:val="100"/>
              </w:rPr>
              <w:t>S9</w:t>
            </w:r>
          </w:p>
        </w:tc>
        <w:tc>
          <w:tcPr>
            <w:tcW w:w="30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6" w:lineRule="exact"/>
              <w:ind w:left="110" w:right="-239"/>
              <w:rPr/>
            </w:pPr>
            <w:r>
              <w:rPr>
                <w:rFonts w:ascii="仿宋" w:eastAsia="仿宋" w:hAnsi="仿宋" w:cs="仿宋"/>
                <w:u w:val="none"/>
                <w:sz w:val="28"/>
                <w:position w:val="0"/>
                <w:color w:val="000000"/>
                <w:noProof w:val="true"/>
                <w:spacing w:val="-4"/>
                <w:w w:val="100"/>
              </w:rPr>
              <w:t>指导委员会批准进入第</w:t>
            </w:r>
          </w:p>
          <w:p w:rsidR="005A76FB" w:rsidRDefault="005A76FB" w:rsidP="005A76FB">
            <w:pPr>
              <w:spacing w:before="0" w:after="0" w:line="240" w:lineRule="exact"/>
              <w:ind w:left="182" w:right="-239"/>
              <w:rPr/>
            </w:pPr>
          </w:p>
          <w:p w:rsidR="005A76FB" w:rsidRDefault="005A76FB" w:rsidP="005A76FB">
            <w:pPr>
              <w:spacing w:before="0" w:after="0" w:line="383" w:lineRule="exact"/>
              <w:ind w:left="182" w:right="-239"/>
              <w:rPr/>
            </w:pPr>
            <w:r>
              <w:rPr>
                <w:rFonts w:ascii="仿宋" w:eastAsia="仿宋" w:hAnsi="仿宋" w:cs="仿宋"/>
                <w:u w:val="none"/>
                <w:sz w:val="28"/>
                <w:position w:val="0"/>
                <w:color w:val="000000"/>
                <w:noProof w:val="true"/>
                <w:spacing w:val="-4"/>
                <w:w w:val="100"/>
              </w:rPr>
              <w:t>四阶段，并推荐给</w:t>
            </w:r>
            <w:r>
              <w:rPr>
                <w:rFonts w:ascii="仿宋" w:hAnsi="仿宋" w:cs="仿宋"/>
                <w:u w:val="none"/>
                <w:sz w:val="28"/>
                <w:position w:val="0"/>
                <w:color w:val="000000"/>
                <w:noProof w:val="true"/>
                <w:spacing w:val="-3"/>
                <w:w w:val="100"/>
              </w:rPr>
              <w:t>ICH</w:t>
            </w:r>
          </w:p>
          <w:p w:rsidR="005A76FB" w:rsidRDefault="005A76FB" w:rsidP="005A76FB">
            <w:pPr>
              <w:spacing w:before="0" w:after="0" w:line="240" w:lineRule="exact"/>
              <w:ind w:left="110" w:right="-239"/>
              <w:rPr/>
            </w:pPr>
          </w:p>
          <w:p w:rsidR="005A76FB" w:rsidRDefault="005A76FB" w:rsidP="005A76FB">
            <w:pPr>
              <w:spacing w:before="0" w:after="0" w:line="384" w:lineRule="exact"/>
              <w:ind w:left="110" w:right="-239"/>
              <w:rPr/>
            </w:pPr>
            <w:r>
              <w:rPr>
                <w:rFonts w:ascii="仿宋" w:hAnsi="仿宋" w:cs="仿宋"/>
                <w:u w:val="none"/>
                <w:sz w:val="28"/>
                <w:position w:val="0"/>
                <w:color w:val="000000"/>
                <w:noProof w:val="true"/>
                <w:spacing w:val="-4"/>
                <w:w w:val="100"/>
              </w:rPr>
              <w:t>三方的管理机构采纳。</w:t>
            </w:r>
          </w:p>
        </w:tc>
        <w:tc>
          <w:tcPr>
            <w:tcW w:w="30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6" w:lineRule="exact"/>
              <w:ind w:left="533" w:right="-239"/>
              <w:rPr/>
            </w:pPr>
            <w:r>
              <w:rPr>
                <w:rFonts w:ascii="仿宋" w:hAnsi="仿宋" w:cs="仿宋"/>
                <w:u w:val="none"/>
                <w:sz w:val="28"/>
                <w:position w:val="0"/>
                <w:color w:val="000000"/>
                <w:noProof w:val="true"/>
                <w:spacing w:val="-3"/>
                <w:w w:val="100"/>
              </w:rPr>
              <w:t>2009</w:t>
            </w:r>
            <w:r>
              <w:rPr>
                <w:rFonts w:ascii="仿宋" w:eastAsia="仿宋" w:hAnsi="仿宋" w:cs="仿宋"/>
                <w:u w:val="none"/>
                <w:sz w:val="28"/>
                <w:position w:val="0"/>
                <w:color w:val="000000"/>
                <w:noProof w:val="true"/>
                <w:spacing w:val="-5"/>
                <w:w w:val="100"/>
              </w:rPr>
              <w:t>年</w:t>
            </w:r>
            <w:r>
              <w:rPr>
                <w:rFonts w:ascii="仿宋" w:hAnsi="仿宋" w:cs="仿宋"/>
                <w:u w:val="none"/>
                <w:sz w:val="28"/>
                <w:position w:val="0"/>
                <w:color w:val="000000"/>
                <w:noProof w:val="true"/>
                <w:spacing w:val="-3"/>
                <w:w w:val="100"/>
              </w:rPr>
              <w:t>10</w:t>
            </w:r>
            <w:r>
              <w:rPr>
                <w:rFonts w:ascii="仿宋" w:eastAsia="仿宋" w:hAnsi="仿宋" w:cs="仿宋"/>
                <w:u w:val="none"/>
                <w:sz w:val="28"/>
                <w:position w:val="0"/>
                <w:color w:val="000000"/>
                <w:noProof w:val="true"/>
                <w:spacing w:val="-5"/>
                <w:w w:val="100"/>
              </w:rPr>
              <w:t>月</w:t>
            </w:r>
            <w:r>
              <w:rPr>
                <w:rFonts w:ascii="仿宋" w:hAnsi="仿宋" w:cs="仿宋"/>
                <w:u w:val="none"/>
                <w:sz w:val="28"/>
                <w:position w:val="0"/>
                <w:color w:val="000000"/>
                <w:noProof w:val="true"/>
                <w:spacing w:val="-3"/>
                <w:w w:val="100"/>
              </w:rPr>
              <w:t>29</w:t>
            </w:r>
            <w:r>
              <w:rPr>
                <w:rFonts w:ascii="仿宋" w:eastAsia="仿宋" w:hAnsi="仿宋" w:cs="仿宋"/>
                <w:u w:val="none"/>
                <w:sz w:val="28"/>
                <w:position w:val="0"/>
                <w:color w:val="000000"/>
                <w:noProof w:val="true"/>
                <w:spacing w:val="-5"/>
                <w:w w:val="100"/>
              </w:rPr>
              <w:t>日</w:t>
            </w:r>
          </w:p>
        </w:tc>
      </w:tr>
    </w:tbl>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ectPr w:rsidR="005A76FB" w:rsidSect="005A76FB">
          <w:type w:val="continuous"/>
          <w:pgSz w:w="11904" w:h="16838"/>
          <w:pgMar w:top="950" w:right="995" w:bottom="710" w:left="1355" w:header="0" w:footer="0" w:gutter="0"/>
        </w:sectPr>
        <w:spacing w:before="0" w:after="0" w:line="239" w:lineRule="exact"/>
        <w:ind w:left="-1354" w:firstLine="10398"/>
        <w:jc w:val="left"/>
        <w:rPr/>
      </w:pPr>
      <w:r>
        <w:rPr>
          <w:noProof/>
        </w:rPr>
        <w:pict>
          <v:shape id="imagerId13" type="#_x0000_t75" style="position:absolute;margin-left:289pt;margin-top:60pt;width:26pt;height:20pt;z-index:-251657523;mso-position-horizontal-relative:page;mso-position-vertical-relative:page">
            <v:imagedata r:id="rId13" o:title=""/>
          </v:shape>
        </w:pict>
      </w:r>
      <w:r>
        <w:rPr>
          <w:noProof/>
        </w:rPr>
        <w:pict>
          <v:shape id="imagerId14" type="#_x0000_t75" style="position:absolute;margin-left:265pt;margin-top:92pt;width:81pt;height:19pt;z-index:-251657522;mso-position-horizontal-relative:page;mso-position-vertical-relative:page">
            <v:imagedata r:id="rId14" o:title=""/>
          </v:shape>
        </w:pict>
      </w:r>
      <w:r>
        <w:rPr>
          <w:noProof/>
        </w:rPr>
        <w:pict>
          <v:shape id="imagerId15" type="#_x0000_t75" style="position:absolute;margin-left:233pt;margin-top:272pt;width:145pt;height:20pt;z-index:-251657521;mso-position-horizontal-relative:page;mso-position-vertical-relative:page">
            <v:imagedata r:id="rId15" o:title=""/>
          </v:shape>
        </w:pict>
      </w:r>
      <w:r>
        <w:rPr>
          <w:rFonts w:ascii="Times New Roman" w:hAnsi="Times New Roman" w:cs="Times New Roman"/>
          <w:u w:val="none"/>
          <w:sz w:val="18"/>
          <w:position w:val="0"/>
          <w:color w:val="000000"/>
          <w:noProof w:val="true"/>
          <w:spacing w:val="-3"/>
          <w:w w:val="100"/>
        </w:rPr>
        <w:t>2</w:t>
      </w:r>
    </w:p>
    <w:bookmarkStart w:id="3" w:name="3"/>
    <w:bookmarkEnd w:id="3"/>
    <w:p w:rsidR="005A76FB" w:rsidRDefault="005A76FB" w:rsidP="005A76FB">
      <w:pPr>
        <w:spacing w:before="0" w:after="0" w:lineRule="exact" w:line="254"/>
        <w:ind/>
        <w:rPr/>
      </w:pPr>
    </w:p>
    <w:p w:rsidR="005A76FB" w:rsidRDefault="005A76FB" w:rsidP="005A76FB">
      <w:pPr>
        <w:widowControl/>
        <w:jc w:val="left"/>
        <w:rPr/>
        <w:sectPr w:rsidR="005A76FB" w:rsidSect="005A76FB">
          <w:type w:val="continuous"/>
          <w:pgSz w:w="11904" w:h="16839"/>
          <w:pgMar w:top="950" w:right="995" w:bottom="710" w:left="1355" w:header="0" w:footer="0" w:gutter="0"/>
          <w:docGrid w:type="lines" w:linePitch="312"/>
        </w:sectPr>
      </w:pPr>
    </w:p>
    <w:p w:rsidR="005A76FB" w:rsidRDefault="005A76FB" w:rsidP="005A76FB">
      <w:pPr>
        <w:spacing w:before="0" w:after="0" w:line="240" w:lineRule="exact"/>
        <w:ind w:left="61" w:firstLine="4296"/>
        <w:jc w:val="left"/>
        <w:rPr/>
      </w:pPr>
      <w:r>
        <w:rPr>
          <w:rFonts w:ascii="宋体" w:eastAsia="宋体" w:hAnsi="宋体" w:cs="宋体"/>
          <w:b/>
          <w:u w:val="none"/>
          <w:sz w:val="24"/>
          <w:position w:val="0"/>
          <w:color w:val="000000"/>
          <w:w w:val="95"/>
          <w:noProof w:val="true"/>
          <w:spacing w:val="-6"/>
        </w:rPr>
        <w:t>目录</w:t>
      </w:r>
    </w:p>
    <w:p w:rsidR="005A76FB" w:rsidRDefault="005A76FB" w:rsidP="005A76FB">
      <w:pPr>
        <w:tabs>
          <w:tab w:val="left" w:pos="9004"/>
        </w:tabs>
        <w:spacing w:before="0" w:after="0" w:line="454" w:lineRule="exact"/>
        <w:ind w:firstLine="0" w:left="61"/>
        <w:jc w:val="left"/>
        <w:rPr/>
      </w:pPr>
      <w:r>
        <w:rPr>
          <w:rFonts w:ascii="Times New Roman" w:hAnsi="Times New Roman" w:cs="Times New Roman"/>
          <w:b/>
          <w:u w:val="none"/>
          <w:sz w:val="24"/>
          <w:position w:val="0"/>
          <w:color w:val="000000"/>
          <w:w w:val="80"/>
          <w:noProof w:val="true"/>
          <w:spacing w:val="-2"/>
        </w:rPr>
        <w:t>1.</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80"/>
          <w:noProof w:val="true"/>
          <w:spacing w:val="-6"/>
        </w:rPr>
        <w:t>前言</w:t>
      </w:r>
      <w:r>
        <w:rPr>
          <w:rFonts w:ascii="Calibri" w:hAnsi="Calibri" w:cs="Calibri"/>
          <w:b/>
          <w:u w:val="none"/>
          <w:sz w:val="24"/>
          <w:color w:val="000000"/>
          <w:noProof w:val="true"/>
          <w:spacing w:val="-7"/>
          <w:w w:val="100"/>
        </w:rPr>
        <w:t> </w:t>
      </w:r>
      <w:r>
        <w:rPr>
          <w:rFonts w:ascii="Times New Roman" w:hAnsi="Times New Roman" w:cs="Times New Roman"/>
          <w:b/>
          <w:u w:val="none"/>
          <w:sz w:val="24"/>
          <w:position w:val="0"/>
          <w:color w:val="000000"/>
          <w:w w:val="80"/>
          <w:noProof w:val="true"/>
          <w:spacing w:val="0"/>
        </w:rPr>
        <w:t>..................................................................................................................................</w:t>
      </w:r>
      <w:r>
        <w:rPr>
          <w:rFonts w:cs="Calibri"/>
          <w:w w:val="100"/>
        </w:rPr>
        <w:tab/>
      </w:r>
      <w:r>
        <w:rPr>
          <w:rFonts w:ascii="Times New Roman" w:hAnsi="Times New Roman" w:cs="Times New Roman"/>
          <w:b/>
          <w:u w:val="none"/>
          <w:sz w:val="24"/>
          <w:position w:val="0"/>
          <w:color w:val="000000"/>
          <w:w w:val="80"/>
          <w:noProof w:val="true"/>
          <w:spacing w:val="-3"/>
        </w:rPr>
        <w:t>3</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1.1</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指导原则目的</w:t>
      </w:r>
      <w:r>
        <w:rPr>
          <w:rFonts w:ascii="Calibri" w:hAnsi="Calibri" w:cs="Calibri"/>
          <w:u w:val="none"/>
          <w:sz w:val="24"/>
          <w:color w:val="000000"/>
          <w:noProof w:val="true"/>
          <w:spacing w:val="-12"/>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3</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1.2</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背景</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3</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1.3</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范围</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3</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1.4</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一般原则</w:t>
      </w:r>
      <w:r>
        <w:rPr>
          <w:rFonts w:ascii="Calibri" w:hAnsi="Calibri" w:cs="Calibri"/>
          <w:u w:val="none"/>
          <w:sz w:val="24"/>
          <w:color w:val="000000"/>
          <w:noProof w:val="true"/>
          <w:spacing w:val="0"/>
          <w:w w:val="44"/>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5</w:t>
      </w:r>
    </w:p>
    <w:p w:rsidR="005A76FB" w:rsidRDefault="005A76FB" w:rsidP="005A76FB">
      <w:pPr>
        <w:tabs>
          <w:tab w:val="left" w:pos="9004"/>
        </w:tabs>
        <w:spacing w:before="0" w:after="0" w:line="403" w:lineRule="exact"/>
        <w:ind w:firstLine="0" w:left="61"/>
        <w:jc w:val="left"/>
        <w:rPr/>
      </w:pPr>
      <w:r>
        <w:rPr>
          <w:rFonts w:ascii="Times New Roman" w:hAnsi="Times New Roman" w:cs="Times New Roman"/>
          <w:b/>
          <w:u w:val="none"/>
          <w:sz w:val="24"/>
          <w:position w:val="0"/>
          <w:color w:val="000000"/>
          <w:w w:val="80"/>
          <w:noProof w:val="true"/>
          <w:spacing w:val="-2"/>
        </w:rPr>
        <w:t>2.</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80"/>
          <w:noProof w:val="true"/>
          <w:spacing w:val="-5"/>
        </w:rPr>
        <w:t>支持非临床评价的研究</w:t>
      </w:r>
      <w:r>
        <w:rPr>
          <w:rFonts w:ascii="Calibri" w:hAnsi="Calibri" w:cs="Calibri"/>
          <w:b/>
          <w:u w:val="none"/>
          <w:sz w:val="24"/>
          <w:color w:val="000000"/>
          <w:noProof w:val="true"/>
          <w:spacing w:val="3"/>
          <w:w w:val="100"/>
        </w:rPr>
        <w:t> </w:t>
      </w:r>
      <w:r>
        <w:rPr>
          <w:rFonts w:ascii="Times New Roman" w:hAnsi="Times New Roman" w:cs="Times New Roman"/>
          <w:b/>
          <w:u w:val="none"/>
          <w:sz w:val="24"/>
          <w:position w:val="0"/>
          <w:color w:val="000000"/>
          <w:w w:val="80"/>
          <w:noProof w:val="true"/>
          <w:spacing w:val="0"/>
        </w:rPr>
        <w:t>...................................................................................................</w:t>
      </w:r>
      <w:r>
        <w:rPr>
          <w:rFonts w:cs="Calibri"/>
          <w:w w:val="100"/>
        </w:rPr>
        <w:tab/>
      </w:r>
      <w:r>
        <w:rPr>
          <w:rFonts w:ascii="Times New Roman" w:hAnsi="Times New Roman" w:cs="Times New Roman"/>
          <w:b/>
          <w:u w:val="none"/>
          <w:sz w:val="24"/>
          <w:position w:val="0"/>
          <w:color w:val="000000"/>
          <w:w w:val="80"/>
          <w:noProof w:val="true"/>
          <w:spacing w:val="-3"/>
        </w:rPr>
        <w:t>4</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2.1</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药理学</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4</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2.2</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安全药理学</w:t>
      </w:r>
      <w:r>
        <w:rPr>
          <w:rFonts w:ascii="Calibri" w:hAnsi="Calibri" w:cs="Calibri"/>
          <w:u w:val="none"/>
          <w:sz w:val="24"/>
          <w:color w:val="000000"/>
          <w:noProof w:val="true"/>
          <w:spacing w:val="-22"/>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4</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2.3</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药代动力学</w:t>
      </w:r>
      <w:r>
        <w:rPr>
          <w:rFonts w:ascii="Calibri" w:hAnsi="Calibri" w:cs="Calibri"/>
          <w:u w:val="none"/>
          <w:sz w:val="24"/>
          <w:color w:val="000000"/>
          <w:noProof w:val="true"/>
          <w:spacing w:val="-22"/>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6</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2.4</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一般毒理学</w:t>
      </w:r>
      <w:r>
        <w:rPr>
          <w:rFonts w:ascii="Calibri" w:hAnsi="Calibri" w:cs="Calibri"/>
          <w:u w:val="none"/>
          <w:sz w:val="24"/>
          <w:color w:val="000000"/>
          <w:noProof w:val="true"/>
          <w:spacing w:val="-22"/>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6</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2.5</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生殖毒性</w:t>
      </w:r>
      <w:r>
        <w:rPr>
          <w:rFonts w:ascii="Calibri" w:hAnsi="Calibri" w:cs="Calibri"/>
          <w:u w:val="none"/>
          <w:sz w:val="24"/>
          <w:color w:val="000000"/>
          <w:noProof w:val="true"/>
          <w:spacing w:val="0"/>
          <w:w w:val="44"/>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5</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2.6</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遗传毒性</w:t>
      </w:r>
      <w:r>
        <w:rPr>
          <w:rFonts w:ascii="Calibri" w:hAnsi="Calibri" w:cs="Calibri"/>
          <w:u w:val="none"/>
          <w:sz w:val="24"/>
          <w:color w:val="000000"/>
          <w:noProof w:val="true"/>
          <w:spacing w:val="0"/>
          <w:w w:val="44"/>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7</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2.7</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致癌性</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7</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2.8</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免疫毒性</w:t>
      </w:r>
      <w:r>
        <w:rPr>
          <w:rFonts w:ascii="Calibri" w:hAnsi="Calibri" w:cs="Calibri"/>
          <w:u w:val="none"/>
          <w:sz w:val="24"/>
          <w:color w:val="000000"/>
          <w:noProof w:val="true"/>
          <w:spacing w:val="0"/>
          <w:w w:val="44"/>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7</w:t>
      </w:r>
    </w:p>
    <w:p w:rsidR="005A76FB" w:rsidRDefault="005A76FB" w:rsidP="005A76FB">
      <w:pPr>
        <w:spacing w:before="0" w:after="0" w:line="360" w:lineRule="exact"/>
        <w:ind w:firstLine="480" w:left="61"/>
        <w:jc w:val="left"/>
        <w:rPr/>
      </w:pPr>
      <w:r>
        <w:rPr>
          <w:rFonts w:ascii="Times New Roman" w:hAnsi="Times New Roman" w:cs="Times New Roman"/>
          <w:u w:val="none"/>
          <w:sz w:val="24"/>
          <w:position w:val="0"/>
          <w:color w:val="000000"/>
          <w:noProof w:val="true"/>
          <w:spacing w:val="-2"/>
          <w:w w:val="100"/>
        </w:rPr>
        <w:t>2.9</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光安全性</w:t>
      </w:r>
      <w:r>
        <w:rPr>
          <w:rFonts w:ascii="Times New Roman" w:hAnsi="Times New Roman" w:cs="Times New Roman"/>
          <w:u w:val="none"/>
          <w:sz w:val="24"/>
          <w:position w:val="0"/>
          <w:color w:val="000000"/>
          <w:noProof w:val="true"/>
          <w:spacing w:val="-5"/>
          <w:w w:val="100"/>
        </w:rPr>
        <w:t>……………………………………………………………………………6</w:t>
      </w:r>
    </w:p>
    <w:p w:rsidR="005A76FB" w:rsidRDefault="005A76FB" w:rsidP="005A76FB">
      <w:pPr>
        <w:tabs>
          <w:tab w:val="left" w:pos="9004"/>
        </w:tabs>
        <w:spacing w:before="0" w:after="0" w:line="360" w:lineRule="exact"/>
        <w:ind w:firstLine="0" w:left="61"/>
        <w:jc w:val="left"/>
        <w:rPr/>
      </w:pPr>
      <w:r>
        <w:rPr>
          <w:rFonts w:ascii="Times New Roman" w:hAnsi="Times New Roman" w:cs="Times New Roman"/>
          <w:b/>
          <w:u w:val="none"/>
          <w:sz w:val="24"/>
          <w:position w:val="0"/>
          <w:color w:val="000000"/>
          <w:w w:val="80"/>
          <w:noProof w:val="true"/>
          <w:spacing w:val="-2"/>
        </w:rPr>
        <w:t>3.</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80"/>
          <w:noProof w:val="true"/>
          <w:spacing w:val="-5"/>
        </w:rPr>
        <w:t>支持临床试验设计和上市的非临床数据</w:t>
      </w:r>
      <w:r>
        <w:rPr>
          <w:rFonts w:ascii="Calibri" w:hAnsi="Calibri" w:cs="Calibri"/>
          <w:b/>
          <w:u w:val="none"/>
          <w:sz w:val="24"/>
          <w:color w:val="000000"/>
          <w:noProof w:val="true"/>
          <w:spacing w:val="0"/>
          <w:w w:val="100"/>
        </w:rPr>
        <w:t> </w:t>
      </w:r>
      <w:r>
        <w:rPr>
          <w:rFonts w:ascii="Times New Roman" w:hAnsi="Times New Roman" w:cs="Times New Roman"/>
          <w:b/>
          <w:u w:val="none"/>
          <w:sz w:val="24"/>
          <w:position w:val="0"/>
          <w:color w:val="000000"/>
          <w:w w:val="80"/>
          <w:noProof w:val="true"/>
          <w:spacing w:val="0"/>
        </w:rPr>
        <w:t>........................................................................</w:t>
      </w:r>
      <w:r>
        <w:rPr>
          <w:rFonts w:cs="Calibri"/>
          <w:w w:val="100"/>
        </w:rPr>
        <w:tab/>
      </w:r>
      <w:r>
        <w:rPr>
          <w:rFonts w:ascii="Times New Roman" w:hAnsi="Times New Roman" w:cs="Times New Roman"/>
          <w:b/>
          <w:u w:val="none"/>
          <w:sz w:val="24"/>
          <w:position w:val="0"/>
          <w:color w:val="000000"/>
          <w:w w:val="80"/>
          <w:noProof w:val="true"/>
          <w:spacing w:val="-3"/>
        </w:rPr>
        <w:t>8</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3.1</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人体首次用药的起始剂量</w:t>
      </w:r>
      <w:r>
        <w:rPr>
          <w:rFonts w:ascii="Calibri" w:hAnsi="Calibri" w:cs="Calibri"/>
          <w:u w:val="none"/>
          <w:sz w:val="24"/>
          <w:color w:val="000000"/>
          <w:noProof w:val="true"/>
          <w:spacing w:val="-26"/>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8</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3.2</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临床试验中的剂量递增和最高剂量</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8</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3.3</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6"/>
          <w:w w:val="100"/>
        </w:rPr>
        <w:t>支持早期临床试验的毒理学研究周期和方案</w:t>
      </w:r>
      <w:r>
        <w:rPr>
          <w:rFonts w:ascii="Calibri" w:hAnsi="Calibri" w:cs="Calibri"/>
          <w:u w:val="none"/>
          <w:sz w:val="24"/>
          <w:color w:val="000000"/>
          <w:noProof w:val="true"/>
          <w:spacing w:val="-6"/>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8</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3.4</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6"/>
          <w:w w:val="100"/>
        </w:rPr>
        <w:t>支持后续临床研发和上市的毒理学研究周期</w:t>
      </w:r>
      <w:r>
        <w:rPr>
          <w:rFonts w:ascii="Calibri" w:hAnsi="Calibri" w:cs="Calibri"/>
          <w:u w:val="none"/>
          <w:sz w:val="24"/>
          <w:color w:val="000000"/>
          <w:noProof w:val="true"/>
          <w:spacing w:val="-6"/>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8</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3.5</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药物联合应用</w:t>
      </w:r>
      <w:r>
        <w:rPr>
          <w:rFonts w:ascii="Calibri" w:hAnsi="Calibri" w:cs="Calibri"/>
          <w:u w:val="none"/>
          <w:sz w:val="24"/>
          <w:color w:val="000000"/>
          <w:noProof w:val="true"/>
          <w:spacing w:val="-12"/>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9</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3.6</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支持儿童人群临床试验的非临床研究</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9</w:t>
      </w:r>
    </w:p>
    <w:p w:rsidR="005A76FB" w:rsidRDefault="005A76FB" w:rsidP="005A76FB">
      <w:pPr>
        <w:tabs>
          <w:tab w:val="left" w:pos="9004"/>
        </w:tabs>
        <w:spacing w:before="0" w:after="0" w:line="403" w:lineRule="exact"/>
        <w:ind w:firstLine="0" w:left="61"/>
        <w:jc w:val="left"/>
        <w:rPr/>
      </w:pPr>
      <w:r>
        <w:rPr>
          <w:rFonts w:ascii="Times New Roman" w:hAnsi="Times New Roman" w:cs="Times New Roman"/>
          <w:b/>
          <w:u w:val="none"/>
          <w:sz w:val="24"/>
          <w:position w:val="0"/>
          <w:color w:val="000000"/>
          <w:w w:val="80"/>
          <w:noProof w:val="true"/>
          <w:spacing w:val="-2"/>
        </w:rPr>
        <w:t>4.</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80"/>
          <w:noProof w:val="true"/>
          <w:spacing w:val="-6"/>
        </w:rPr>
        <w:t>其它考虑</w:t>
      </w:r>
      <w:r>
        <w:rPr>
          <w:rFonts w:ascii="Times New Roman" w:hAnsi="Times New Roman" w:cs="Times New Roman"/>
          <w:b/>
          <w:u w:val="none"/>
          <w:sz w:val="24"/>
          <w:position w:val="0"/>
          <w:color w:val="000000"/>
          <w:w w:val="80"/>
          <w:noProof w:val="true"/>
          <w:spacing w:val="0"/>
        </w:rPr>
        <w:t>...........................................................................................................................</w:t>
      </w:r>
      <w:r>
        <w:rPr>
          <w:rFonts w:cs="Calibri"/>
          <w:w w:val="100"/>
        </w:rPr>
        <w:tab/>
      </w:r>
      <w:r>
        <w:rPr>
          <w:rFonts w:ascii="Times New Roman" w:hAnsi="Times New Roman" w:cs="Times New Roman"/>
          <w:b/>
          <w:u w:val="none"/>
          <w:sz w:val="24"/>
          <w:position w:val="0"/>
          <w:color w:val="000000"/>
          <w:w w:val="80"/>
          <w:noProof w:val="true"/>
          <w:spacing w:val="-3"/>
        </w:rPr>
        <w:t>9</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4.1</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偶联药物</w:t>
      </w:r>
      <w:r>
        <w:rPr>
          <w:rFonts w:ascii="Calibri" w:hAnsi="Calibri" w:cs="Calibri"/>
          <w:u w:val="none"/>
          <w:sz w:val="24"/>
          <w:color w:val="000000"/>
          <w:noProof w:val="true"/>
          <w:spacing w:val="0"/>
          <w:w w:val="44"/>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9</w:t>
      </w:r>
    </w:p>
    <w:p w:rsidR="005A76FB" w:rsidRDefault="005A76FB" w:rsidP="005A76FB">
      <w:pPr>
        <w:tabs>
          <w:tab w:val="left" w:pos="900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4.2</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脂质体产品</w:t>
      </w:r>
      <w:r>
        <w:rPr>
          <w:rFonts w:ascii="Calibri" w:hAnsi="Calibri" w:cs="Calibri"/>
          <w:u w:val="none"/>
          <w:sz w:val="24"/>
          <w:color w:val="000000"/>
          <w:noProof w:val="true"/>
          <w:spacing w:val="-22"/>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9</w:t>
      </w:r>
    </w:p>
    <w:p w:rsidR="005A76FB" w:rsidRDefault="005A76FB" w:rsidP="005A76FB">
      <w:pPr>
        <w:tabs>
          <w:tab w:val="left" w:pos="9004"/>
        </w:tabs>
        <w:spacing w:before="0" w:after="0" w:line="408" w:lineRule="exact"/>
        <w:ind w:firstLine="423" w:left="61"/>
        <w:jc w:val="left"/>
        <w:rPr/>
      </w:pPr>
      <w:r>
        <w:rPr>
          <w:rFonts w:ascii="Times New Roman" w:hAnsi="Times New Roman" w:cs="Times New Roman"/>
          <w:u w:val="none"/>
          <w:sz w:val="24"/>
          <w:position w:val="0"/>
          <w:color w:val="000000"/>
          <w:noProof w:val="true"/>
          <w:spacing w:val="-2"/>
          <w:w w:val="100"/>
        </w:rPr>
        <w:t>4.3</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药物代谢物评价</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9</w:t>
      </w:r>
    </w:p>
    <w:p w:rsidR="005A76FB" w:rsidRDefault="005A76FB" w:rsidP="005A76FB">
      <w:pPr>
        <w:tabs>
          <w:tab w:val="left" w:pos="8884"/>
        </w:tabs>
        <w:spacing w:before="0" w:after="0" w:line="403" w:lineRule="exact"/>
        <w:ind w:firstLine="423" w:left="61"/>
        <w:jc w:val="left"/>
        <w:rPr/>
      </w:pPr>
      <w:r>
        <w:rPr>
          <w:rFonts w:ascii="Times New Roman" w:hAnsi="Times New Roman" w:cs="Times New Roman"/>
          <w:u w:val="none"/>
          <w:sz w:val="24"/>
          <w:position w:val="0"/>
          <w:color w:val="000000"/>
          <w:noProof w:val="true"/>
          <w:spacing w:val="-2"/>
          <w:w w:val="100"/>
        </w:rPr>
        <w:t>4.4</w:t>
      </w:r>
      <w:r>
        <w:rPr>
          <w:rFonts w:ascii="Calibri" w:hAnsi="Calibri" w:cs="Calibri"/>
          <w:u w:val="none"/>
          <w:sz w:val="24"/>
          <w:color w:val="000000"/>
          <w:noProof w:val="true"/>
          <w:spacing w:val="0"/>
          <w:w w:val="217"/>
        </w:rPr>
        <w:t> </w:t>
      </w:r>
      <w:r>
        <w:rPr>
          <w:rFonts w:ascii="宋体" w:eastAsia="宋体" w:hAnsi="宋体" w:cs="宋体"/>
          <w:u w:val="none"/>
          <w:sz w:val="24"/>
          <w:position w:val="0"/>
          <w:color w:val="000000"/>
          <w:noProof w:val="true"/>
          <w:spacing w:val="-5"/>
          <w:w w:val="100"/>
        </w:rPr>
        <w:t>杂质评价</w:t>
      </w:r>
      <w:r>
        <w:rPr>
          <w:rFonts w:ascii="Calibri" w:hAnsi="Calibri" w:cs="Calibri"/>
          <w:u w:val="none"/>
          <w:sz w:val="24"/>
          <w:color w:val="000000"/>
          <w:noProof w:val="true"/>
          <w:spacing w:val="0"/>
          <w:w w:val="44"/>
        </w:rPr>
        <w:t> </w:t>
      </w:r>
      <w:r>
        <w:rPr>
          <w:rFonts w:ascii="Times New Roman" w:hAnsi="Times New Roman" w:cs="Times New Roman"/>
          <w:u w:val="none"/>
          <w:sz w:val="24"/>
          <w:position w:val="0"/>
          <w:color w:val="000000"/>
          <w:noProof w:val="true"/>
          <w:spacing w:val="0"/>
          <w:w w:val="100"/>
        </w:rPr>
        <w:t>................................................................................................................</w:t>
      </w:r>
      <w:r>
        <w:rPr>
          <w:rFonts w:cs="Calibri"/>
          <w:w w:val="100"/>
        </w:rPr>
        <w:tab/>
      </w:r>
      <w:r>
        <w:rPr>
          <w:rFonts w:ascii="Times New Roman" w:hAnsi="Times New Roman" w:cs="Times New Roman"/>
          <w:u w:val="none"/>
          <w:sz w:val="24"/>
          <w:position w:val="0"/>
          <w:color w:val="000000"/>
          <w:noProof w:val="true"/>
          <w:spacing w:val="-3"/>
          <w:w w:val="100"/>
        </w:rPr>
        <w:t>10</w:t>
      </w:r>
    </w:p>
    <w:p w:rsidR="005A76FB" w:rsidRDefault="005A76FB" w:rsidP="005A76FB">
      <w:pPr>
        <w:tabs>
          <w:tab w:val="left" w:pos="8884"/>
        </w:tabs>
        <w:spacing w:before="0" w:after="0" w:line="408" w:lineRule="exact"/>
        <w:ind w:firstLine="0" w:left="61"/>
        <w:jc w:val="left"/>
        <w:rPr/>
      </w:pPr>
      <w:r>
        <w:rPr>
          <w:rFonts w:ascii="Times New Roman" w:hAnsi="Times New Roman" w:cs="Times New Roman"/>
          <w:b/>
          <w:u w:val="none"/>
          <w:sz w:val="24"/>
          <w:position w:val="0"/>
          <w:color w:val="000000"/>
          <w:w w:val="80"/>
          <w:noProof w:val="true"/>
          <w:spacing w:val="-2"/>
        </w:rPr>
        <w:t>5.</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80"/>
          <w:noProof w:val="true"/>
          <w:spacing w:val="-6"/>
        </w:rPr>
        <w:t>注释</w:t>
      </w:r>
      <w:r>
        <w:rPr>
          <w:rFonts w:ascii="Calibri" w:hAnsi="Calibri" w:cs="Calibri"/>
          <w:b/>
          <w:u w:val="none"/>
          <w:sz w:val="24"/>
          <w:color w:val="000000"/>
          <w:noProof w:val="true"/>
          <w:spacing w:val="-7"/>
          <w:w w:val="100"/>
        </w:rPr>
        <w:t> </w:t>
      </w:r>
      <w:r>
        <w:rPr>
          <w:rFonts w:ascii="Times New Roman" w:hAnsi="Times New Roman" w:cs="Times New Roman"/>
          <w:b/>
          <w:u w:val="none"/>
          <w:sz w:val="24"/>
          <w:position w:val="0"/>
          <w:color w:val="000000"/>
          <w:w w:val="80"/>
          <w:noProof w:val="true"/>
          <w:spacing w:val="0"/>
        </w:rPr>
        <w:t>................................................................................................................................</w:t>
      </w:r>
      <w:r>
        <w:rPr>
          <w:rFonts w:cs="Calibri"/>
          <w:w w:val="100"/>
        </w:rPr>
        <w:tab/>
      </w:r>
      <w:r>
        <w:rPr>
          <w:rFonts w:ascii="Times New Roman" w:hAnsi="Times New Roman" w:cs="Times New Roman"/>
          <w:b/>
          <w:u w:val="none"/>
          <w:sz w:val="24"/>
          <w:position w:val="0"/>
          <w:color w:val="000000"/>
          <w:w w:val="80"/>
          <w:noProof w:val="true"/>
          <w:spacing w:val="-3"/>
        </w:rPr>
        <w:t>10</w:t>
      </w:r>
    </w:p>
    <w:p w:rsidR="005A76FB" w:rsidRDefault="005A76FB" w:rsidP="005A76FB">
      <w:pPr>
        <w:widowControl/>
        <w:jc w:val="left"/>
        <w:rPr/>
        <w:sectPr w:rsidR="005A76FB" w:rsidSect="005A76FB">
          <w:type w:val="continuous"/>
          <w:pgSz w:w="11904" w:h="16839"/>
          <w:pgMar w:top="950" w:right="995" w:bottom="710" w:left="1355" w:header="0" w:footer="0" w:gutter="0"/>
          <w:cols w:num="1" w:equalWidth="0">
            <w:col w:w="9554" w:space="0"/>
          </w:cols>
          <w:docGrid w:type="lines" w:linePitch="312"/>
        </w:sectPr>
      </w:pP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Rule="exact" w:line="479"/>
        <w:ind w:firstLine="0" w:left="61"/>
        <w:rPr/>
      </w:pPr>
    </w:p>
    <w:p w:rsidR="005A76FB" w:rsidRDefault="005A76FB" w:rsidP="005A76FB">
      <w:pPr>
        <w:widowControl/>
        <w:jc w:val="left"/>
        <w:rPr/>
        <w:sectPr w:rsidR="005A76FB" w:rsidSect="005A76FB">
          <w:type w:val="continuous"/>
          <w:pgSz w:w="11904" w:h="16839"/>
          <w:pgMar w:top="950" w:right="995" w:bottom="710" w:left="1355" w:header="0" w:footer="0" w:gutter="0"/>
          <w:docGrid w:type="lines" w:linePitch="312"/>
        </w:sectPr>
      </w:pPr>
    </w:p>
    <w:p w:rsidR="005A76FB" w:rsidRDefault="005A76FB" w:rsidP="005A76FB">
      <w:pPr>
        <w:spacing w:before="0" w:after="0" w:line="202" w:lineRule="exact"/>
        <w:ind w:firstLine="0" w:left="9043"/>
        <w:jc w:val="left"/>
        <w:rPr/>
      </w:pPr>
      <w:r>
        <w:rPr>
          <w:rFonts w:ascii="Times New Roman" w:hAnsi="Times New Roman" w:cs="Times New Roman"/>
          <w:u w:val="none"/>
          <w:sz w:val="18"/>
          <w:position w:val="0"/>
          <w:color w:val="000000"/>
          <w:noProof w:val="true"/>
          <w:spacing w:val="-3"/>
          <w:w w:val="100"/>
        </w:rPr>
        <w:t>3</w:t>
      </w:r>
    </w:p>
    <w:p w:rsidR="005A76FB" w:rsidRDefault="005A76FB" w:rsidP="005A76FB">
      <w:pPr>
        <w:widowControl/>
        <w:jc w:val="left"/>
        <w:rPr/>
        <w:sectPr w:rsidR="005A76FB" w:rsidSect="005A76FB">
          <w:type w:val="continuous"/>
          <w:pgSz w:w="11904" w:h="16839"/>
          <w:pgMar w:top="950" w:right="995" w:bottom="710" w:left="1355" w:header="0" w:footer="0" w:gutter="0"/>
          <w:cols w:num="1" w:equalWidth="0">
            <w:col w:w="9554" w:space="0"/>
          </w:cols>
          <w:docGrid w:type="lines" w:linePitch="312"/>
        </w:sectPr>
      </w:pPr>
    </w:p>
    <w:bookmarkStart w:id="4" w:name="4"/>
    <w:bookmarkEnd w:id="4"/>
    <w:p w:rsidR="005A76FB" w:rsidRDefault="005A76FB" w:rsidP="005A76FB">
      <w:pPr>
        <w:spacing w:before="0" w:after="0" w:lineRule="exact" w:line="240"/>
        <w:ind/>
        <w:rPr/>
      </w:pPr>
    </w:p>
    <w:p w:rsidR="005A76FB" w:rsidRDefault="005A76FB" w:rsidP="005A76FB">
      <w:pPr>
        <w:spacing w:before="0" w:after="0" w:line="272" w:lineRule="exact"/>
        <w:ind w:left="-1354" w:firstLine="1416"/>
        <w:jc w:val="left"/>
        <w:rPr/>
      </w:pPr>
      <w:r>
        <w:rPr>
          <w:rFonts w:ascii="Times New Roman" w:hAnsi="Times New Roman" w:cs="Times New Roman"/>
          <w:b/>
          <w:u w:val="none"/>
          <w:sz w:val="24"/>
          <w:position w:val="0"/>
          <w:color w:val="000000"/>
          <w:w w:val="95"/>
          <w:noProof w:val="true"/>
          <w:spacing w:val="-2"/>
        </w:rPr>
        <w:t>1.</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95"/>
          <w:noProof w:val="true"/>
          <w:spacing w:val="-6"/>
        </w:rPr>
        <w:t>前言</w:t>
      </w:r>
    </w:p>
    <w:p w:rsidR="005A76FB" w:rsidRDefault="005A76FB" w:rsidP="005A76FB">
      <w:pPr>
        <w:spacing w:before="0" w:after="0" w:line="470" w:lineRule="exact"/>
        <w:ind w:firstLine="1416" w:left="-1354"/>
        <w:jc w:val="left"/>
        <w:rPr/>
      </w:pPr>
      <w:r>
        <w:rPr>
          <w:rFonts w:ascii="Times New Roman" w:hAnsi="Times New Roman" w:cs="Times New Roman"/>
          <w:b/>
          <w:u w:val="none"/>
          <w:sz w:val="24"/>
          <w:position w:val="0"/>
          <w:color w:val="000000"/>
          <w:w w:val="95"/>
          <w:noProof w:val="true"/>
          <w:spacing w:val="-2"/>
        </w:rPr>
        <w:t>1.1</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指导原则目的</w:t>
      </w:r>
    </w:p>
    <w:p w:rsidR="005A76FB" w:rsidRDefault="005A76FB" w:rsidP="005A76FB">
      <w:pPr>
        <w:spacing w:before="0" w:after="0" w:line="447" w:lineRule="exact"/>
        <w:ind w:firstLine="1896" w:left="-1354"/>
        <w:jc w:val="left"/>
        <w:rPr/>
      </w:pPr>
      <w:r>
        <w:rPr>
          <w:rFonts w:ascii="宋体" w:eastAsia="宋体" w:hAnsi="宋体" w:cs="宋体"/>
          <w:u w:val="none"/>
          <w:sz w:val="24"/>
          <w:position w:val="0"/>
          <w:color w:val="000000"/>
          <w:noProof w:val="true"/>
          <w:spacing w:val="-5"/>
          <w:w w:val="100"/>
        </w:rPr>
        <w:t>本指导原则的目的是为抗肿瘤药物研发提供信息，以帮助设计合适的非临床研究</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计划。本指导原则也为非临床评价提供了建议，以支持在疾病晚期且治疗选择有限的</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患者中开展抗肿瘤药物临床试验。</w:t>
      </w:r>
    </w:p>
    <w:p w:rsidR="005A76FB" w:rsidRDefault="005A76FB" w:rsidP="005A76FB">
      <w:pPr>
        <w:spacing w:before="0" w:after="0" w:line="470" w:lineRule="exact"/>
        <w:ind w:firstLine="1896" w:left="-1354"/>
        <w:jc w:val="left"/>
        <w:rPr/>
      </w:pPr>
      <w:r>
        <w:rPr>
          <w:rFonts w:ascii="宋体" w:eastAsia="宋体" w:hAnsi="宋体" w:cs="宋体"/>
          <w:u w:val="none"/>
          <w:sz w:val="24"/>
          <w:position w:val="0"/>
          <w:color w:val="000000"/>
          <w:noProof w:val="true"/>
          <w:spacing w:val="-5"/>
          <w:w w:val="100"/>
        </w:rPr>
        <w:t>本指导原则旨在促进和加速抗肿瘤药物研发，并保护患者免受不必要的不良反</w:t>
      </w:r>
    </w:p>
    <w:p w:rsidR="005A76FB" w:rsidRDefault="005A76FB" w:rsidP="005A76FB">
      <w:pPr>
        <w:spacing w:before="0" w:after="0" w:lineRule="exact" w:line="218"/>
        <w:ind w:firstLine="1896" w:left="-1354"/>
        <w:rPr/>
      </w:pPr>
    </w:p>
    <w:p w:rsidR="005A76FB" w:rsidRDefault="005A76FB" w:rsidP="005A76FB">
      <w:pPr>
        <w:spacing w:before="0" w:after="0" w:line="265" w:lineRule="exact"/>
        <w:ind w:firstLine="1416" w:left="-1354"/>
        <w:jc w:val="left"/>
        <w:rPr/>
      </w:pPr>
      <w:r>
        <w:rPr>
          <w:rFonts w:ascii="宋体" w:eastAsia="宋体" w:hAnsi="宋体" w:cs="宋体"/>
          <w:u w:val="none"/>
          <w:sz w:val="24"/>
          <w:position w:val="0"/>
          <w:color w:val="000000"/>
          <w:noProof w:val="true"/>
          <w:spacing w:val="-5"/>
          <w:w w:val="100"/>
        </w:rPr>
        <w:t>应，同时遵循</w:t>
      </w:r>
      <w:r>
        <w:rPr>
          <w:rFonts w:ascii="Times New Roman" w:hAnsi="Times New Roman" w:cs="Times New Roman"/>
          <w:u w:val="none"/>
          <w:sz w:val="24"/>
          <w:position w:val="0"/>
          <w:color w:val="000000"/>
          <w:noProof w:val="true"/>
          <w:spacing w:val="-4"/>
          <w:w w:val="100"/>
        </w:rPr>
        <w:t>3R</w:t>
      </w:r>
      <w:r>
        <w:rPr>
          <w:rFonts w:ascii="宋体" w:eastAsia="宋体" w:hAnsi="宋体" w:cs="宋体"/>
          <w:u w:val="none"/>
          <w:sz w:val="24"/>
          <w:position w:val="0"/>
          <w:color w:val="000000"/>
          <w:noProof w:val="true"/>
          <w:spacing w:val="-5"/>
          <w:w w:val="100"/>
        </w:rPr>
        <w:t>原则（减少</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优化</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替代）</w:t>
      </w:r>
      <w:r>
        <w:rPr>
          <w:rFonts w:ascii="宋体" w:hAnsi="宋体" w:cs="宋体"/>
          <w:u w:val="none"/>
          <w:sz w:val="24"/>
          <w:position w:val="0"/>
          <w:color w:val="000000"/>
          <w:noProof w:val="true"/>
          <w:spacing w:val="-3"/>
          <w:w w:val="100"/>
        </w:rPr>
        <w:t>,</w:t>
      </w:r>
      <w:r>
        <w:rPr>
          <w:rFonts w:ascii="宋体" w:hAnsi="宋体" w:cs="宋体"/>
          <w:u w:val="none"/>
          <w:sz w:val="24"/>
          <w:position w:val="0"/>
          <w:color w:val="000000"/>
          <w:noProof w:val="true"/>
          <w:spacing w:val="-5"/>
          <w:w w:val="100"/>
        </w:rPr>
        <w:t>避免不必要的动物以及其它资源使用。</w:t>
      </w:r>
    </w:p>
    <w:p w:rsidR="005A76FB" w:rsidRDefault="005A76FB" w:rsidP="005A76FB">
      <w:pPr>
        <w:spacing w:before="0" w:after="0" w:line="470" w:lineRule="exact"/>
        <w:ind w:firstLine="1896" w:left="-1354"/>
        <w:jc w:val="left"/>
        <w:rPr/>
      </w:pPr>
      <w:r>
        <w:rPr>
          <w:rFonts w:ascii="宋体" w:eastAsia="宋体" w:hAnsi="宋体" w:cs="宋体"/>
          <w:u w:val="none"/>
          <w:sz w:val="24"/>
          <w:position w:val="0"/>
          <w:color w:val="000000"/>
          <w:noProof w:val="true"/>
          <w:spacing w:val="-5"/>
          <w:w w:val="100"/>
        </w:rPr>
        <w:t>适当情况下，在抗肿瘤药物研发中应考虑其他</w:t>
      </w:r>
      <w:r>
        <w:rPr>
          <w:rFonts w:ascii="Times New Roman" w:hAnsi="Times New Roman" w:cs="Times New Roman"/>
          <w:u w:val="none"/>
          <w:sz w:val="24"/>
          <w:position w:val="0"/>
          <w:color w:val="000000"/>
          <w:noProof w:val="true"/>
          <w:spacing w:val="-5"/>
          <w:w w:val="100"/>
        </w:rPr>
        <w:t>ICH</w:t>
      </w:r>
      <w:r>
        <w:rPr>
          <w:rFonts w:ascii="宋体" w:hAnsi="宋体" w:cs="宋体"/>
          <w:u w:val="none"/>
          <w:sz w:val="24"/>
          <w:position w:val="0"/>
          <w:color w:val="000000"/>
          <w:noProof w:val="true"/>
          <w:spacing w:val="-5"/>
          <w:w w:val="100"/>
        </w:rPr>
        <w:t>指导原则所描述的原则。本指导</w:t>
      </w:r>
    </w:p>
    <w:p w:rsidR="005A76FB" w:rsidRDefault="005A76FB" w:rsidP="005A76FB">
      <w:pPr>
        <w:spacing w:before="0" w:after="0" w:line="447" w:lineRule="exact"/>
        <w:ind w:firstLine="1416" w:left="-1354"/>
        <w:jc w:val="left"/>
        <w:rPr/>
      </w:pPr>
      <w:r>
        <w:rPr>
          <w:rFonts w:ascii="宋体" w:hAnsi="宋体" w:cs="宋体"/>
          <w:u w:val="none"/>
          <w:sz w:val="24"/>
          <w:position w:val="0"/>
          <w:color w:val="000000"/>
          <w:noProof w:val="true"/>
          <w:spacing w:val="-5"/>
          <w:w w:val="100"/>
        </w:rPr>
        <w:t>原则描述了与其他指导原则的非临床试验建议不一致的特殊情况。</w:t>
      </w:r>
    </w:p>
    <w:p w:rsidR="005A76FB" w:rsidRDefault="005A76FB" w:rsidP="005A76FB">
      <w:pPr>
        <w:spacing w:before="0" w:after="0" w:lineRule="exact" w:line="222"/>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1.2</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背景</w:t>
      </w:r>
    </w:p>
    <w:p w:rsidR="005A76FB" w:rsidRDefault="005A76FB" w:rsidP="005A76FB">
      <w:pPr>
        <w:spacing w:before="0" w:after="0" w:line="448" w:lineRule="exact"/>
        <w:ind w:firstLine="1896" w:left="-1354"/>
        <w:jc w:val="left"/>
        <w:rPr/>
      </w:pPr>
      <w:r>
        <w:rPr>
          <w:rFonts w:ascii="宋体" w:eastAsia="宋体" w:hAnsi="宋体" w:cs="宋体"/>
          <w:u w:val="none"/>
          <w:sz w:val="24"/>
          <w:position w:val="0"/>
          <w:color w:val="000000"/>
          <w:noProof w:val="true"/>
          <w:spacing w:val="-5"/>
          <w:w w:val="100"/>
        </w:rPr>
        <w:t>由于恶性肿瘤危及生命，死亡率较高，且现有治疗措施的疗效有限，因此迫切需</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要为患者提供新的有效的抗肿瘤药物。</w:t>
      </w:r>
    </w:p>
    <w:p w:rsidR="005A76FB" w:rsidRDefault="005A76FB" w:rsidP="005A76FB">
      <w:pPr>
        <w:spacing w:before="0" w:after="0" w:line="465" w:lineRule="exact"/>
        <w:ind w:firstLine="1896" w:left="-1354"/>
        <w:jc w:val="left"/>
        <w:rPr/>
      </w:pPr>
      <w:r>
        <w:rPr>
          <w:rFonts w:ascii="宋体" w:eastAsia="宋体" w:hAnsi="宋体" w:cs="宋体"/>
          <w:u w:val="none"/>
          <w:sz w:val="24"/>
          <w:position w:val="0"/>
          <w:color w:val="000000"/>
          <w:noProof w:val="true"/>
          <w:spacing w:val="-5"/>
          <w:w w:val="100"/>
        </w:rPr>
        <w:t>关于支持用于治疗晚期且治疗选择有限的患者的抗肿瘤药物临床试验所需的非临</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床试验设计和实施，目前国际上尚未就目标和建议达成共识。非临床评价用于：</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896" w:left="-1354"/>
        <w:jc w:val="left"/>
        <w:rPr/>
      </w:pP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）确定药物的药理学特性</w:t>
      </w:r>
      <w:r>
        <w:rPr>
          <w:rFonts w:ascii="宋体" w:hAnsi="宋体" w:cs="宋体"/>
          <w:u w:val="none"/>
          <w:sz w:val="24"/>
          <w:position w:val="0"/>
          <w:color w:val="000000"/>
          <w:noProof w:val="true"/>
          <w:spacing w:val="-3"/>
          <w:w w:val="100"/>
        </w:rPr>
        <w:t>;</w:t>
      </w:r>
    </w:p>
    <w:p w:rsidR="005A76FB" w:rsidRDefault="005A76FB" w:rsidP="005A76FB">
      <w:pPr>
        <w:spacing w:before="0" w:after="0" w:line="470" w:lineRule="exact"/>
        <w:ind w:firstLine="1896" w:left="-1354"/>
        <w:jc w:val="left"/>
        <w:rPr/>
      </w:pPr>
      <w:r>
        <w:rPr>
          <w:rFonts w:ascii="Times New Roman" w:hAnsi="Times New Roman" w:cs="Times New Roman"/>
          <w:u w:val="none"/>
          <w:sz w:val="24"/>
          <w:position w:val="0"/>
          <w:color w:val="000000"/>
          <w:noProof w:val="true"/>
          <w:spacing w:val="-3"/>
          <w:w w:val="100"/>
        </w:rPr>
        <w:t>2</w:t>
      </w:r>
      <w:r>
        <w:rPr>
          <w:rFonts w:ascii="宋体" w:eastAsia="宋体" w:hAnsi="宋体" w:cs="宋体"/>
          <w:u w:val="none"/>
          <w:sz w:val="24"/>
          <w:position w:val="0"/>
          <w:color w:val="000000"/>
          <w:noProof w:val="true"/>
          <w:spacing w:val="-5"/>
          <w:w w:val="100"/>
        </w:rPr>
        <w:t>）确定首次人体暴露的安全起始剂量水平</w:t>
      </w:r>
      <w:r>
        <w:rPr>
          <w:rFonts w:ascii="宋体" w:hAnsi="宋体" w:cs="宋体"/>
          <w:u w:val="none"/>
          <w:sz w:val="24"/>
          <w:position w:val="0"/>
          <w:color w:val="000000"/>
          <w:noProof w:val="true"/>
          <w:spacing w:val="-3"/>
          <w:w w:val="100"/>
        </w:rPr>
        <w:t>;</w:t>
      </w:r>
    </w:p>
    <w:p w:rsidR="005A76FB" w:rsidRDefault="005A76FB" w:rsidP="005A76FB">
      <w:pPr>
        <w:spacing w:before="0" w:after="0" w:line="465" w:lineRule="exact"/>
        <w:ind w:firstLine="1896" w:left="-1354"/>
        <w:jc w:val="left"/>
        <w:rPr/>
      </w:pPr>
      <w:r>
        <w:rPr>
          <w:rFonts w:ascii="Times New Roman" w:hAnsi="Times New Roman" w:cs="Times New Roman"/>
          <w:u w:val="none"/>
          <w:sz w:val="24"/>
          <w:position w:val="0"/>
          <w:color w:val="000000"/>
          <w:noProof w:val="true"/>
          <w:spacing w:val="-3"/>
          <w:w w:val="100"/>
        </w:rPr>
        <w:t>3</w:t>
      </w:r>
      <w:r>
        <w:rPr>
          <w:rFonts w:ascii="宋体" w:hAnsi="宋体" w:cs="宋体"/>
          <w:u w:val="none"/>
          <w:sz w:val="24"/>
          <w:position w:val="0"/>
          <w:color w:val="000000"/>
          <w:noProof w:val="true"/>
          <w:spacing w:val="-5"/>
          <w:w w:val="100"/>
        </w:rPr>
        <w:t>）了解药物的毒理学特征（例如确定靶器官、暴露量</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0"/>
          <w:color w:val="000000"/>
          <w:noProof w:val="true"/>
          <w:spacing w:val="-5"/>
          <w:w w:val="100"/>
        </w:rPr>
        <w:t>反应关系和可逆性）。</w:t>
      </w:r>
    </w:p>
    <w:p w:rsidR="005A76FB" w:rsidRDefault="005A76FB" w:rsidP="005A76FB">
      <w:pPr>
        <w:spacing w:before="0" w:after="0" w:line="452" w:lineRule="exact"/>
        <w:ind w:firstLine="1896" w:left="-1354"/>
        <w:jc w:val="left"/>
        <w:rPr/>
      </w:pPr>
      <w:r>
        <w:rPr>
          <w:rFonts w:ascii="宋体" w:hAnsi="宋体" w:cs="宋体"/>
          <w:u w:val="none"/>
          <w:sz w:val="24"/>
          <w:position w:val="0"/>
          <w:color w:val="000000"/>
          <w:noProof w:val="true"/>
          <w:spacing w:val="-5"/>
          <w:w w:val="100"/>
        </w:rPr>
        <w:t>在抗肿瘤药物的研发中，临床试验常纳入病情进展中且致命的肿瘤患者。此外，</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这些临床试验中的剂量水平常常接近或者等于不良反应剂量。鉴于这些原因，在抗肿</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瘤药物的非临床研究设计中所需的试验类型、时间安排和灵活性可能与其它药物的非</w:t>
      </w:r>
    </w:p>
    <w:p w:rsidR="005A76FB" w:rsidRDefault="005A76FB" w:rsidP="005A76FB">
      <w:pPr>
        <w:spacing w:before="0" w:after="0" w:line="466" w:lineRule="exact"/>
        <w:ind w:firstLine="1416" w:left="-1354"/>
        <w:jc w:val="left"/>
        <w:rPr/>
      </w:pPr>
      <w:r>
        <w:rPr>
          <w:rFonts w:ascii="宋体" w:hAnsi="宋体" w:cs="宋体"/>
          <w:u w:val="none"/>
          <w:sz w:val="24"/>
          <w:position w:val="0"/>
          <w:color w:val="000000"/>
          <w:noProof w:val="true"/>
          <w:spacing w:val="-5"/>
          <w:w w:val="100"/>
        </w:rPr>
        <w:t>临床研究不同。</w:t>
      </w:r>
    </w:p>
    <w:p w:rsidR="005A76FB" w:rsidRDefault="005A76FB" w:rsidP="005A76FB">
      <w:pPr>
        <w:spacing w:before="0" w:after="0" w:lineRule="exact" w:line="222"/>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1.3</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范围</w:t>
      </w:r>
    </w:p>
    <w:p w:rsidR="005A76FB" w:rsidRDefault="005A76FB" w:rsidP="005A76FB">
      <w:pPr>
        <w:spacing w:before="0" w:after="0" w:line="447" w:lineRule="exact"/>
        <w:ind w:firstLine="1896" w:left="-1354"/>
        <w:jc w:val="left"/>
        <w:rPr/>
      </w:pPr>
      <w:r>
        <w:rPr>
          <w:rFonts w:ascii="宋体" w:hAnsi="宋体" w:cs="宋体"/>
          <w:u w:val="none"/>
          <w:sz w:val="24"/>
          <w:position w:val="0"/>
          <w:color w:val="000000"/>
          <w:noProof w:val="true"/>
          <w:spacing w:val="-5"/>
          <w:w w:val="100"/>
        </w:rPr>
        <w:t>本指导原则为拟用于治疗严重且威胁生命的恶性肿瘤患者的药物提供信息。鉴于</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此目的，这部分患者人群通常是指晚期肿瘤患者。本指导原则适用于小分子和生物技</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术药物，不论何种给药途径。本指导原则中描述了与用于晚期肿瘤患者的抗肿瘤药物</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研发相关的非临床研究类型和时间安排，并且适当参考其他指导原则。本指导原则也</w:t>
      </w:r>
    </w:p>
    <w:p w:rsidR="005A76FB" w:rsidRDefault="005A76FB" w:rsidP="005A76FB">
      <w:pPr>
        <w:spacing w:before="0" w:after="0" w:line="465" w:lineRule="exact"/>
        <w:ind w:firstLine="1416" w:left="-1354"/>
        <w:jc w:val="left"/>
        <w:rPr/>
      </w:pPr>
      <w:r>
        <w:rPr>
          <w:rFonts w:ascii="宋体" w:eastAsia="宋体" w:hAnsi="宋体" w:cs="宋体"/>
          <w:u w:val="none"/>
          <w:sz w:val="24"/>
          <w:position w:val="0"/>
          <w:color w:val="000000"/>
          <w:noProof w:val="true"/>
          <w:spacing w:val="-5"/>
          <w:w w:val="100"/>
        </w:rPr>
        <w:t>描述了在现有治疗无效或耐药，或无法从现有治疗获益的晚期患者人群中进行早期临</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床试验时所需的最基本考虑。支持Ⅰ期临床试验的非临床资料与Ⅰ期临床资料，通常</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足以支持进行Ⅱ期临床试验和进入晚期肿瘤患者的二线或一线治疗。本指导原则也描</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述了在晚期肿瘤患者的后续临床试验期间需进一步收集的非临床研究数据。当抗肿瘤</w:t>
      </w:r>
    </w:p>
    <w:p w:rsidR="005A76FB" w:rsidRDefault="005A76FB" w:rsidP="005A76FB">
      <w:pPr>
        <w:spacing w:before="0" w:after="0" w:line="465" w:lineRule="exact"/>
        <w:ind w:firstLine="1416" w:left="-1354"/>
        <w:jc w:val="left"/>
        <w:rPr/>
      </w:pPr>
      <w:r>
        <w:rPr>
          <w:rFonts w:ascii="宋体" w:eastAsia="宋体" w:hAnsi="宋体" w:cs="宋体"/>
          <w:u w:val="none"/>
          <w:sz w:val="24"/>
          <w:position w:val="0"/>
          <w:color w:val="000000"/>
          <w:noProof w:val="true"/>
          <w:spacing w:val="-5"/>
          <w:w w:val="100"/>
        </w:rPr>
        <w:t>药物要在预期生存期较长的肿瘤患者人群进一步研究时（如为降低肿瘤复发风险而进</w:t>
      </w:r>
    </w:p>
    <w:p w:rsidR="005A76FB" w:rsidRDefault="005A76FB" w:rsidP="005A76FB">
      <w:pPr>
        <w:sectPr w:rsidR="005A76FB" w:rsidSect="005A76FB">
          <w:type w:val="continuous"/>
          <w:pgSz w:w="11904" w:h="16838"/>
          <w:pgMar w:top="950" w:right="995" w:bottom="710" w:left="1355" w:header="0" w:footer="0" w:gutter="0"/>
        </w:sectPr>
        <w:spacing w:before="0" w:after="0" w:line="356" w:lineRule="exact"/>
        <w:ind w:firstLine="10398" w:left="-1354"/>
        <w:jc w:val="left"/>
        <w:rPr/>
      </w:pPr>
      <w:r>
        <w:rPr>
          <w:rFonts w:ascii="Times New Roman" w:hAnsi="Times New Roman" w:cs="Times New Roman"/>
          <w:u w:val="none"/>
          <w:sz w:val="18"/>
          <w:position w:val="0"/>
          <w:color w:val="000000"/>
          <w:noProof w:val="true"/>
          <w:spacing w:val="-3"/>
          <w:w w:val="100"/>
        </w:rPr>
        <w:t>4</w:t>
      </w:r>
    </w:p>
    <w:bookmarkStart w:id="5" w:name="5"/>
    <w:bookmarkEnd w:id="5"/>
    <w:p w:rsidR="005A76FB" w:rsidRDefault="005A76FB" w:rsidP="005A76FB">
      <w:pPr>
        <w:spacing w:before="0" w:after="0" w:lineRule="exact" w:line="240"/>
        <w:ind/>
        <w:rPr/>
      </w:pPr>
    </w:p>
    <w:p w:rsidR="005A76FB" w:rsidRDefault="005A76FB" w:rsidP="005A76FB">
      <w:pPr>
        <w:spacing w:before="0" w:after="0" w:line="254" w:lineRule="exact"/>
        <w:ind w:left="-1354" w:firstLine="1416"/>
        <w:jc w:val="left"/>
        <w:rPr/>
      </w:pPr>
      <w:r>
        <w:rPr>
          <w:rFonts w:ascii="宋体" w:eastAsia="宋体" w:hAnsi="宋体" w:cs="宋体"/>
          <w:u w:val="none"/>
          <w:sz w:val="24"/>
          <w:position w:val="0"/>
          <w:color w:val="000000"/>
          <w:noProof w:val="true"/>
          <w:spacing w:val="-5"/>
          <w:w w:val="100"/>
        </w:rPr>
        <w:t>行长期给药），其他追加的非临床研究项目和时间安排取决于已有的非临床和临床研</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究数据，以及已观察到的毒性特征。</w:t>
      </w:r>
    </w:p>
    <w:p w:rsidR="005A76FB" w:rsidRDefault="005A76FB" w:rsidP="005A76FB">
      <w:pPr>
        <w:spacing w:before="0" w:after="0" w:line="465" w:lineRule="exact"/>
        <w:ind w:firstLine="1896" w:left="-1354"/>
        <w:jc w:val="left"/>
        <w:rPr/>
      </w:pPr>
      <w:r>
        <w:rPr>
          <w:rFonts w:ascii="宋体" w:eastAsia="宋体" w:hAnsi="宋体" w:cs="宋体"/>
          <w:u w:val="none"/>
          <w:sz w:val="24"/>
          <w:position w:val="0"/>
          <w:color w:val="000000"/>
          <w:noProof w:val="true"/>
          <w:spacing w:val="-5"/>
          <w:w w:val="100"/>
        </w:rPr>
        <w:t>本指导原则不适用于预防癌症药物</w:t>
      </w:r>
      <w:r>
        <w:rPr>
          <w:rFonts w:ascii="宋体" w:hAnsi="宋体" w:cs="宋体"/>
          <w:u w:val="none"/>
          <w:sz w:val="24"/>
          <w:position w:val="0"/>
          <w:color w:val="000000"/>
          <w:noProof w:val="true"/>
          <w:spacing w:val="-3"/>
          <w:w w:val="100"/>
        </w:rPr>
        <w:t>,</w:t>
      </w:r>
      <w:r>
        <w:rPr>
          <w:rFonts w:ascii="宋体" w:eastAsia="宋体" w:hAnsi="宋体" w:cs="宋体"/>
          <w:u w:val="none"/>
          <w:sz w:val="24"/>
          <w:position w:val="0"/>
          <w:color w:val="000000"/>
          <w:noProof w:val="true"/>
          <w:spacing w:val="-5"/>
          <w:w w:val="100"/>
        </w:rPr>
        <w:t>改善症状或化疗副作用的药物</w:t>
      </w:r>
      <w:r>
        <w:rPr>
          <w:rFonts w:ascii="宋体" w:hAnsi="宋体" w:cs="宋体"/>
          <w:u w:val="none"/>
          <w:sz w:val="24"/>
          <w:position w:val="0"/>
          <w:color w:val="000000"/>
          <w:noProof w:val="true"/>
          <w:spacing w:val="-3"/>
          <w:w w:val="100"/>
        </w:rPr>
        <w:t>,</w:t>
      </w:r>
      <w:r>
        <w:rPr>
          <w:rFonts w:ascii="宋体" w:eastAsia="宋体" w:hAnsi="宋体" w:cs="宋体"/>
          <w:u w:val="none"/>
          <w:sz w:val="24"/>
          <w:position w:val="0"/>
          <w:color w:val="000000"/>
          <w:noProof w:val="true"/>
          <w:spacing w:val="-5"/>
          <w:w w:val="100"/>
        </w:rPr>
        <w:t>在健康志愿者</w:t>
      </w:r>
    </w:p>
    <w:p w:rsidR="005A76FB" w:rsidRDefault="005A76FB" w:rsidP="005A76FB">
      <w:pPr>
        <w:spacing w:before="0" w:after="0" w:lineRule="exact" w:line="223"/>
        <w:ind w:firstLine="1896" w:left="-1354"/>
        <w:rPr/>
      </w:pPr>
    </w:p>
    <w:p w:rsidR="005A76FB" w:rsidRDefault="005A76FB" w:rsidP="005A76FB">
      <w:pPr>
        <w:spacing w:before="0" w:after="0" w:line="265" w:lineRule="exact"/>
        <w:ind w:firstLine="1416" w:left="-1354"/>
        <w:jc w:val="left"/>
        <w:rPr/>
      </w:pPr>
      <w:r>
        <w:rPr>
          <w:rFonts w:ascii="宋体" w:eastAsia="宋体" w:hAnsi="宋体" w:cs="宋体"/>
          <w:u w:val="none"/>
          <w:sz w:val="24"/>
          <w:position w:val="0"/>
          <w:color w:val="000000"/>
          <w:noProof w:val="true"/>
          <w:spacing w:val="-5"/>
          <w:w w:val="100"/>
        </w:rPr>
        <w:t>进行的研究</w:t>
      </w:r>
      <w:r>
        <w:rPr>
          <w:rFonts w:ascii="宋体" w:hAnsi="宋体" w:cs="宋体"/>
          <w:u w:val="none"/>
          <w:sz w:val="24"/>
          <w:position w:val="0"/>
          <w:color w:val="000000"/>
          <w:noProof w:val="true"/>
          <w:spacing w:val="-3"/>
          <w:w w:val="100"/>
        </w:rPr>
        <w:t>,</w:t>
      </w:r>
      <w:r>
        <w:rPr>
          <w:rFonts w:ascii="宋体" w:eastAsia="宋体" w:hAnsi="宋体" w:cs="宋体"/>
          <w:u w:val="none"/>
          <w:sz w:val="24"/>
          <w:position w:val="0"/>
          <w:color w:val="000000"/>
          <w:noProof w:val="true"/>
          <w:spacing w:val="-5"/>
          <w:w w:val="100"/>
        </w:rPr>
        <w:t>疫苗</w:t>
      </w:r>
      <w:r>
        <w:rPr>
          <w:rFonts w:ascii="宋体" w:hAnsi="宋体" w:cs="宋体"/>
          <w:u w:val="none"/>
          <w:sz w:val="24"/>
          <w:position w:val="0"/>
          <w:color w:val="000000"/>
          <w:noProof w:val="true"/>
          <w:spacing w:val="-3"/>
          <w:w w:val="100"/>
        </w:rPr>
        <w:t>,</w:t>
      </w:r>
      <w:r>
        <w:rPr>
          <w:rFonts w:ascii="宋体" w:hAnsi="宋体" w:cs="宋体"/>
          <w:u w:val="none"/>
          <w:sz w:val="24"/>
          <w:position w:val="0"/>
          <w:color w:val="000000"/>
          <w:noProof w:val="true"/>
          <w:spacing w:val="-5"/>
          <w:w w:val="100"/>
        </w:rPr>
        <w:t>细胞或基因治疗药物。如果临床试验纳入了健康志愿者，应遵循</w:t>
      </w:r>
      <w:r>
        <w:rPr>
          <w:rFonts w:ascii="Times New Roman" w:hAnsi="Times New Roman" w:cs="Times New Roman"/>
          <w:u w:val="none"/>
          <w:sz w:val="24"/>
          <w:position w:val="0"/>
          <w:color w:val="000000"/>
          <w:noProof w:val="true"/>
          <w:spacing w:val="-3"/>
          <w:w w:val="100"/>
        </w:rPr>
        <w:t>ICH</w:t>
      </w:r>
    </w:p>
    <w:p w:rsidR="005A76FB" w:rsidRDefault="005A76FB" w:rsidP="005A76FB">
      <w:pPr>
        <w:spacing w:before="0" w:after="0" w:line="465" w:lineRule="exact"/>
        <w:ind w:firstLine="1416" w:left="-1354"/>
        <w:jc w:val="left"/>
        <w:rPr/>
      </w:pPr>
      <w:r>
        <w:rPr>
          <w:rFonts w:ascii="Times New Roman" w:hAnsi="Times New Roman" w:cs="Times New Roman"/>
          <w:u w:val="none"/>
          <w:sz w:val="24"/>
          <w:position w:val="0"/>
          <w:color w:val="000000"/>
          <w:noProof w:val="true"/>
          <w:spacing w:val="-5"/>
          <w:w w:val="100"/>
        </w:rPr>
        <w:t>M3</w:t>
      </w:r>
      <w:r>
        <w:rPr>
          <w:rFonts w:ascii="宋体" w:hAnsi="宋体" w:cs="宋体"/>
          <w:u w:val="none"/>
          <w:sz w:val="24"/>
          <w:position w:val="0"/>
          <w:color w:val="000000"/>
          <w:noProof w:val="true"/>
          <w:spacing w:val="-5"/>
          <w:w w:val="100"/>
        </w:rPr>
        <w:t>指导原则。本指导原则应用范围不包含放射性药物，但其中的一些原则可能适用此</w:t>
      </w:r>
    </w:p>
    <w:p w:rsidR="005A76FB" w:rsidRDefault="005A76FB" w:rsidP="005A76FB">
      <w:pPr>
        <w:spacing w:before="0" w:after="0" w:line="452" w:lineRule="exact"/>
        <w:ind w:firstLine="1416" w:left="-1354"/>
        <w:jc w:val="left"/>
        <w:rPr/>
      </w:pPr>
      <w:r>
        <w:rPr>
          <w:rFonts w:ascii="宋体" w:hAnsi="宋体" w:cs="宋体"/>
          <w:u w:val="none"/>
          <w:sz w:val="24"/>
          <w:position w:val="0"/>
          <w:color w:val="000000"/>
          <w:noProof w:val="true"/>
          <w:spacing w:val="-5"/>
          <w:w w:val="100"/>
        </w:rPr>
        <w:t>类药物。</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1.4</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一般原则</w:t>
      </w:r>
    </w:p>
    <w:p w:rsidR="005A76FB" w:rsidRDefault="005A76FB" w:rsidP="005A76FB">
      <w:pPr>
        <w:spacing w:before="0" w:after="0" w:line="452" w:lineRule="exact"/>
        <w:ind w:firstLine="1896" w:left="-1354"/>
        <w:jc w:val="left"/>
        <w:rPr/>
      </w:pPr>
      <w:r>
        <w:rPr>
          <w:rFonts w:ascii="宋体" w:eastAsia="宋体" w:hAnsi="宋体" w:cs="宋体"/>
          <w:u w:val="none"/>
          <w:sz w:val="24"/>
          <w:position w:val="0"/>
          <w:color w:val="000000"/>
          <w:noProof w:val="true"/>
          <w:spacing w:val="-5"/>
          <w:w w:val="100"/>
        </w:rPr>
        <w:t>每种新药研发都要求根据拟定人体使用来设计试验，以阐明其药理学和毒理学特</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性。为了阐述与药物相关或与人体使用方式相关的新特性，可能需要对“标准”的非</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临床试验方案进行调整。</w:t>
      </w:r>
    </w:p>
    <w:p w:rsidR="005A76FB" w:rsidRDefault="005A76FB" w:rsidP="005A76FB">
      <w:pPr>
        <w:spacing w:before="0" w:after="0" w:line="466" w:lineRule="exact"/>
        <w:ind w:firstLine="1896" w:left="-1354"/>
        <w:jc w:val="left"/>
        <w:rPr/>
      </w:pPr>
      <w:r>
        <w:rPr>
          <w:rFonts w:ascii="宋体" w:hAnsi="宋体" w:cs="宋体"/>
          <w:u w:val="none"/>
          <w:sz w:val="24"/>
          <w:position w:val="0"/>
          <w:color w:val="000000"/>
          <w:noProof w:val="true"/>
          <w:spacing w:val="-5"/>
          <w:w w:val="100"/>
        </w:rPr>
        <w:t>在研发过程中，生产工艺可以改变。但是，非临床研究中所用的药物活性物质应</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明确其特性，并且应该能够充分代表临床试验中的活性物质。</w:t>
      </w:r>
    </w:p>
    <w:p w:rsidR="005A76FB" w:rsidRDefault="005A76FB" w:rsidP="005A76FB">
      <w:pPr>
        <w:spacing w:before="0" w:after="0" w:line="465" w:lineRule="exact"/>
        <w:ind w:firstLine="1896" w:left="-1354"/>
        <w:jc w:val="left"/>
        <w:rPr/>
      </w:pPr>
      <w:r>
        <w:rPr>
          <w:rFonts w:ascii="宋体" w:eastAsia="宋体" w:hAnsi="宋体" w:cs="宋体"/>
          <w:u w:val="none"/>
          <w:sz w:val="24"/>
          <w:position w:val="0"/>
          <w:color w:val="000000"/>
          <w:noProof w:val="true"/>
          <w:spacing w:val="-5"/>
          <w:w w:val="100"/>
        </w:rPr>
        <w:t>一般来说，用于支持药物研发的非临床安全性研究应遵循药物非临床研究质量管</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理规范。</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2.</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95"/>
          <w:noProof w:val="true"/>
          <w:spacing w:val="-5"/>
        </w:rPr>
        <w:t>支持非临床评价的研究</w:t>
      </w:r>
    </w:p>
    <w:p w:rsidR="005A76FB" w:rsidRDefault="005A76FB" w:rsidP="005A76FB">
      <w:pPr>
        <w:spacing w:before="0" w:after="0" w:line="470" w:lineRule="exact"/>
        <w:ind w:firstLine="1416" w:left="-1354"/>
        <w:jc w:val="left"/>
        <w:rPr/>
      </w:pPr>
      <w:r>
        <w:rPr>
          <w:rFonts w:ascii="Times New Roman" w:hAnsi="Times New Roman" w:cs="Times New Roman"/>
          <w:b/>
          <w:u w:val="none"/>
          <w:sz w:val="24"/>
          <w:position w:val="0"/>
          <w:color w:val="000000"/>
          <w:w w:val="95"/>
          <w:noProof w:val="true"/>
          <w:spacing w:val="-2"/>
        </w:rPr>
        <w:t>2.1</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药理学</w:t>
      </w:r>
    </w:p>
    <w:p w:rsidR="005A76FB" w:rsidRDefault="005A76FB" w:rsidP="005A76FB">
      <w:pPr>
        <w:spacing w:before="0" w:after="0" w:line="447" w:lineRule="exact"/>
        <w:ind w:firstLine="1896" w:left="-1354"/>
        <w:jc w:val="left"/>
        <w:rPr/>
      </w:pPr>
      <w:r>
        <w:rPr>
          <w:rFonts w:ascii="宋体" w:hAnsi="宋体" w:cs="宋体"/>
          <w:u w:val="none"/>
          <w:sz w:val="24"/>
          <w:position w:val="0"/>
          <w:color w:val="000000"/>
          <w:noProof w:val="true"/>
          <w:spacing w:val="-5"/>
          <w:w w:val="100"/>
        </w:rPr>
        <w:t>在Ⅰ期研究之前，应当完成药物作用机制、方案依赖性以及抗肿瘤活性的初步研</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究。应当根据作用靶点和作用机理选择合适模型，但是不必采用与拟进行临床评价相</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同的肿瘤类型。</w:t>
      </w:r>
    </w:p>
    <w:p w:rsidR="005A76FB" w:rsidRDefault="005A76FB" w:rsidP="005A76FB">
      <w:pPr>
        <w:spacing w:before="0" w:after="0" w:line="470" w:lineRule="exact"/>
        <w:ind w:firstLine="1896" w:left="-1354"/>
        <w:jc w:val="left"/>
        <w:rPr/>
      </w:pPr>
      <w:r>
        <w:rPr>
          <w:rFonts w:ascii="宋体" w:eastAsia="宋体" w:hAnsi="宋体" w:cs="宋体"/>
          <w:u w:val="none"/>
          <w:sz w:val="24"/>
          <w:position w:val="0"/>
          <w:color w:val="000000"/>
          <w:noProof w:val="true"/>
          <w:spacing w:val="-5"/>
          <w:w w:val="100"/>
        </w:rPr>
        <w:t>这些研究用于：</w:t>
      </w:r>
    </w:p>
    <w:p w:rsidR="005A76FB" w:rsidRDefault="005A76FB" w:rsidP="005A76FB">
      <w:pPr>
        <w:spacing w:before="0" w:after="0" w:lineRule="exact" w:line="216"/>
        <w:ind w:firstLine="1896" w:left="-1354"/>
        <w:rPr/>
      </w:pPr>
    </w:p>
    <w:p w:rsidR="005A76FB" w:rsidRDefault="005A76FB" w:rsidP="005A76FB">
      <w:pPr>
        <w:tabs>
          <w:tab w:val="left" w:pos="920"/>
        </w:tabs>
        <w:spacing w:before="0" w:after="0" w:line="265" w:lineRule="exact"/>
        <w:ind w:firstLine="1858" w:left="-1354"/>
        <w:jc w:val="left"/>
        <w:rPr/>
      </w:pPr>
      <w:r>
        <w:rPr>
          <w:rFonts w:ascii="Wingdings" w:hAnsi="Wingdings" w:cs="Wingdings"/>
          <w:u w:val="none"/>
          <w:sz w:val="24"/>
          <w:position w:val="0"/>
          <w:color w:val="000000"/>
          <w:noProof w:val="true"/>
          <w:spacing w:val="-4"/>
          <w:w w:val="100"/>
        </w:rPr>
        <w:t></w:t>
      </w:r>
      <w:r>
        <w:rPr>
          <w:rFonts w:cs="Calibri"/>
          <w:w w:val="100"/>
        </w:rPr>
        <w:tab/>
      </w:r>
      <w:r>
        <w:rPr>
          <w:rFonts w:ascii="宋体" w:eastAsia="宋体" w:hAnsi="宋体" w:cs="宋体"/>
          <w:u w:val="none"/>
          <w:sz w:val="24"/>
          <w:position w:val="0"/>
          <w:color w:val="000000"/>
          <w:noProof w:val="true"/>
          <w:spacing w:val="-5"/>
          <w:w w:val="100"/>
        </w:rPr>
        <w:t>提供作用机制的非临床证据</w:t>
      </w:r>
    </w:p>
    <w:p w:rsidR="005A76FB" w:rsidRDefault="005A76FB" w:rsidP="005A76FB">
      <w:pPr>
        <w:tabs>
          <w:tab w:val="left" w:pos="920"/>
        </w:tabs>
        <w:spacing w:before="0" w:after="0" w:line="470" w:lineRule="exact"/>
        <w:ind w:firstLine="1858" w:left="-1354"/>
        <w:jc w:val="left"/>
        <w:rPr/>
      </w:pPr>
      <w:r>
        <w:rPr>
          <w:rFonts w:ascii="Wingdings" w:hAnsi="Wingdings" w:cs="Wingdings"/>
          <w:u w:val="none"/>
          <w:sz w:val="24"/>
          <w:position w:val="0"/>
          <w:color w:val="000000"/>
          <w:noProof w:val="true"/>
          <w:spacing w:val="-4"/>
          <w:w w:val="100"/>
        </w:rPr>
        <w:t></w:t>
      </w:r>
      <w:r>
        <w:rPr>
          <w:rFonts w:cs="Calibri"/>
          <w:w w:val="100"/>
        </w:rPr>
        <w:tab/>
      </w:r>
      <w:r>
        <w:rPr>
          <w:rFonts w:ascii="宋体" w:eastAsia="宋体" w:hAnsi="宋体" w:cs="宋体"/>
          <w:u w:val="none"/>
          <w:sz w:val="24"/>
          <w:position w:val="0"/>
          <w:color w:val="000000"/>
          <w:noProof w:val="true"/>
          <w:spacing w:val="-5"/>
          <w:w w:val="100"/>
        </w:rPr>
        <w:t>指导用药方案和剂量递增计划</w:t>
      </w:r>
    </w:p>
    <w:p w:rsidR="005A76FB" w:rsidRDefault="005A76FB" w:rsidP="005A76FB">
      <w:pPr>
        <w:tabs>
          <w:tab w:val="left" w:pos="920"/>
        </w:tabs>
        <w:spacing w:before="0" w:after="0" w:line="465" w:lineRule="exact"/>
        <w:ind w:firstLine="1858" w:left="-1354"/>
        <w:jc w:val="left"/>
        <w:rPr/>
      </w:pPr>
      <w:r>
        <w:rPr>
          <w:rFonts w:ascii="Wingdings" w:hAnsi="Wingdings" w:cs="Wingdings"/>
          <w:u w:val="none"/>
          <w:sz w:val="24"/>
          <w:position w:val="0"/>
          <w:color w:val="000000"/>
          <w:noProof w:val="true"/>
          <w:spacing w:val="-4"/>
          <w:w w:val="100"/>
        </w:rPr>
        <w:t></w:t>
      </w:r>
      <w:r>
        <w:rPr>
          <w:rFonts w:cs="Calibri"/>
          <w:w w:val="100"/>
        </w:rPr>
        <w:tab/>
      </w:r>
      <w:r>
        <w:rPr>
          <w:rFonts w:ascii="宋体" w:eastAsia="宋体" w:hAnsi="宋体" w:cs="宋体"/>
          <w:u w:val="none"/>
          <w:sz w:val="24"/>
          <w:position w:val="0"/>
          <w:color w:val="000000"/>
          <w:noProof w:val="true"/>
          <w:spacing w:val="-5"/>
          <w:w w:val="100"/>
        </w:rPr>
        <w:t>为选择试验动物种属提供信息</w:t>
      </w:r>
    </w:p>
    <w:p w:rsidR="005A76FB" w:rsidRDefault="005A76FB" w:rsidP="005A76FB">
      <w:pPr>
        <w:tabs>
          <w:tab w:val="left" w:pos="920"/>
        </w:tabs>
        <w:spacing w:before="0" w:after="0" w:line="470" w:lineRule="exact"/>
        <w:ind w:firstLine="1858" w:left="-1354"/>
        <w:jc w:val="left"/>
        <w:rPr/>
      </w:pPr>
      <w:r>
        <w:rPr>
          <w:rFonts w:ascii="Wingdings" w:hAnsi="Wingdings" w:cs="Wingdings"/>
          <w:u w:val="none"/>
          <w:sz w:val="24"/>
          <w:position w:val="0"/>
          <w:color w:val="000000"/>
          <w:noProof w:val="true"/>
          <w:spacing w:val="-4"/>
          <w:w w:val="100"/>
        </w:rPr>
        <w:t></w:t>
      </w:r>
      <w:r>
        <w:rPr>
          <w:rFonts w:cs="Calibri"/>
          <w:w w:val="100"/>
        </w:rPr>
        <w:tab/>
      </w:r>
      <w:r>
        <w:rPr>
          <w:rFonts w:ascii="宋体" w:eastAsia="宋体" w:hAnsi="宋体" w:cs="宋体"/>
          <w:u w:val="none"/>
          <w:sz w:val="24"/>
          <w:position w:val="0"/>
          <w:color w:val="000000"/>
          <w:noProof w:val="true"/>
          <w:spacing w:val="-5"/>
          <w:w w:val="100"/>
        </w:rPr>
        <w:t>帮助选择起始剂量和合适的生物标志物</w:t>
      </w:r>
    </w:p>
    <w:p w:rsidR="005A76FB" w:rsidRDefault="005A76FB" w:rsidP="005A76FB">
      <w:pPr>
        <w:tabs>
          <w:tab w:val="left" w:pos="920"/>
        </w:tabs>
        <w:spacing w:before="0" w:after="0" w:line="465" w:lineRule="exact"/>
        <w:ind w:firstLine="1858" w:left="-1354"/>
        <w:jc w:val="left"/>
        <w:rPr/>
      </w:pPr>
      <w:r>
        <w:rPr>
          <w:rFonts w:ascii="Wingdings" w:hAnsi="Wingdings" w:cs="Wingdings"/>
          <w:u w:val="none"/>
          <w:sz w:val="24"/>
          <w:position w:val="0"/>
          <w:color w:val="000000"/>
          <w:noProof w:val="true"/>
          <w:spacing w:val="-4"/>
          <w:w w:val="100"/>
        </w:rPr>
        <w:t></w:t>
      </w:r>
      <w:r>
        <w:rPr>
          <w:rFonts w:cs="Calibri"/>
          <w:w w:val="100"/>
        </w:rPr>
        <w:tab/>
      </w:r>
      <w:r>
        <w:rPr>
          <w:rFonts w:ascii="宋体" w:eastAsia="宋体" w:hAnsi="宋体" w:cs="宋体"/>
          <w:u w:val="none"/>
          <w:sz w:val="24"/>
          <w:position w:val="0"/>
          <w:color w:val="000000"/>
          <w:noProof w:val="true"/>
          <w:spacing w:val="-5"/>
          <w:w w:val="100"/>
        </w:rPr>
        <w:t>必要时证明药物联合应用的合理性</w:t>
      </w:r>
    </w:p>
    <w:p w:rsidR="005A76FB" w:rsidRDefault="005A76FB" w:rsidP="005A76FB">
      <w:pPr>
        <w:spacing w:before="0" w:after="0" w:line="455" w:lineRule="exact"/>
        <w:ind w:firstLine="1896" w:left="-1354"/>
        <w:jc w:val="left"/>
        <w:rPr/>
      </w:pPr>
      <w:r>
        <w:rPr>
          <w:rFonts w:ascii="宋体" w:eastAsia="宋体" w:hAnsi="宋体" w:cs="宋体"/>
          <w:u w:val="none"/>
          <w:sz w:val="24"/>
          <w:position w:val="0"/>
          <w:color w:val="000000"/>
          <w:noProof w:val="true"/>
          <w:spacing w:val="-5"/>
          <w:w w:val="100"/>
        </w:rPr>
        <w:t>了解药物的次要药效学特征可能有助于人体安全性评价，且在合适时可针对这些</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特性进行研究。</w:t>
      </w:r>
    </w:p>
    <w:p w:rsidR="005A76FB" w:rsidRDefault="005A76FB" w:rsidP="005A76FB">
      <w:pPr>
        <w:spacing w:before="0" w:after="0" w:lineRule="exact" w:line="223"/>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2.2</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安全药理学</w:t>
      </w:r>
    </w:p>
    <w:p w:rsidR="005A76FB" w:rsidRDefault="005A76FB" w:rsidP="005A76FB">
      <w:pPr>
        <w:spacing w:before="0" w:after="0" w:line="447" w:lineRule="exact"/>
        <w:ind w:firstLine="1896" w:left="-1354"/>
        <w:jc w:val="left"/>
        <w:rPr/>
      </w:pPr>
      <w:r>
        <w:rPr>
          <w:rFonts w:ascii="宋体" w:hAnsi="宋体" w:cs="宋体"/>
          <w:u w:val="none"/>
          <w:sz w:val="24"/>
          <w:position w:val="0"/>
          <w:color w:val="000000"/>
          <w:noProof w:val="true"/>
          <w:spacing w:val="-5"/>
          <w:w w:val="100"/>
        </w:rPr>
        <w:t>在开始临床试验之前，应当获得药物关于重要器官功能（包括心血管、呼吸和中</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枢神经系统）的评价信息；这些参数可纳入到一般毒理学试验中。在非啮齿类动物上</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进行了给药后的详细临床症状观察及合适的心电图检查，通常认为已经足够。为支持</w:t>
      </w:r>
    </w:p>
    <w:p w:rsidR="005A76FB" w:rsidRDefault="005A76FB" w:rsidP="005A76FB">
      <w:pPr>
        <w:sectPr w:rsidR="005A76FB" w:rsidSect="005A76FB">
          <w:type w:val="continuous"/>
          <w:pgSz w:w="11904" w:h="16839"/>
          <w:pgMar w:top="950" w:right="995" w:bottom="710" w:left="1355" w:header="0" w:footer="0" w:gutter="0"/>
        </w:sectPr>
        <w:spacing w:before="0" w:after="0" w:line="356" w:lineRule="exact"/>
        <w:ind w:firstLine="10398" w:left="-1354"/>
        <w:jc w:val="left"/>
        <w:rPr/>
      </w:pPr>
      <w:r>
        <w:rPr>
          <w:rFonts w:ascii="Times New Roman" w:hAnsi="Times New Roman" w:cs="Times New Roman"/>
          <w:u w:val="none"/>
          <w:sz w:val="18"/>
          <w:position w:val="0"/>
          <w:color w:val="000000"/>
          <w:noProof w:val="true"/>
          <w:spacing w:val="-3"/>
          <w:w w:val="100"/>
        </w:rPr>
        <w:t>5</w:t>
      </w:r>
    </w:p>
    <w:bookmarkStart w:id="6" w:name="6"/>
    <w:bookmarkEnd w:id="6"/>
    <w:p w:rsidR="005A76FB" w:rsidRDefault="005A76FB" w:rsidP="005A76FB">
      <w:pPr>
        <w:spacing w:before="0" w:after="0" w:lineRule="exact" w:line="240"/>
        <w:ind/>
        <w:rPr/>
      </w:pPr>
    </w:p>
    <w:p w:rsidR="005A76FB" w:rsidRDefault="005A76FB" w:rsidP="005A76FB">
      <w:pPr>
        <w:spacing w:before="0" w:after="0" w:line="254" w:lineRule="exact"/>
        <w:ind w:left="-1354" w:firstLine="1416"/>
        <w:jc w:val="left"/>
        <w:rPr/>
      </w:pPr>
      <w:r>
        <w:rPr>
          <w:rFonts w:ascii="宋体" w:hAnsi="宋体" w:cs="宋体"/>
          <w:u w:val="none"/>
          <w:sz w:val="24"/>
          <w:position w:val="0"/>
          <w:color w:val="000000"/>
          <w:noProof w:val="true"/>
          <w:spacing w:val="-5"/>
          <w:w w:val="100"/>
        </w:rPr>
        <w:t>在晚期肿瘤患者中进行临床试验时，不要求进行单独的安全药理学研究。当确定对临</w:t>
      </w:r>
    </w:p>
    <w:p w:rsidR="005A76FB" w:rsidRDefault="005A76FB" w:rsidP="005A76FB">
      <w:pPr>
        <w:spacing w:before="0" w:after="0" w:lineRule="exact" w:line="222"/>
        <w:ind w:left="-1354" w:firstLine="1416"/>
        <w:rPr/>
      </w:pPr>
    </w:p>
    <w:p w:rsidR="005A76FB" w:rsidRDefault="005A76FB" w:rsidP="005A76FB">
      <w:pPr>
        <w:spacing w:before="0" w:after="0" w:line="265" w:lineRule="exact"/>
        <w:ind w:firstLine="1416" w:left="-1354"/>
        <w:jc w:val="left"/>
        <w:rPr/>
      </w:pPr>
      <w:r>
        <w:rPr>
          <w:rFonts w:ascii="宋体" w:eastAsia="宋体" w:hAnsi="宋体" w:cs="宋体"/>
          <w:u w:val="none"/>
          <w:sz w:val="24"/>
          <w:position w:val="0"/>
          <w:color w:val="000000"/>
          <w:noProof w:val="true"/>
          <w:spacing w:val="-5"/>
          <w:w w:val="100"/>
        </w:rPr>
        <w:t>床试验患者有明显其他风险的特定担忧时，应考虑进行</w:t>
      </w:r>
      <w:r>
        <w:rPr>
          <w:rFonts w:ascii="Times New Roman" w:hAnsi="Times New Roman" w:cs="Times New Roman"/>
          <w:u w:val="none"/>
          <w:sz w:val="24"/>
          <w:position w:val="0"/>
          <w:color w:val="000000"/>
          <w:noProof w:val="true"/>
          <w:spacing w:val="-4"/>
          <w:w w:val="100"/>
        </w:rPr>
        <w:t>ICHS7A</w:t>
      </w:r>
      <w:r>
        <w:rPr>
          <w:rFonts w:ascii="宋体" w:eastAsia="宋体" w:hAnsi="宋体" w:cs="宋体"/>
          <w:u w:val="none"/>
          <w:sz w:val="24"/>
          <w:position w:val="0"/>
          <w:color w:val="000000"/>
          <w:noProof w:val="true"/>
          <w:spacing w:val="-5"/>
          <w:w w:val="100"/>
        </w:rPr>
        <w:t>和</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或</w:t>
      </w:r>
      <w:r>
        <w:rPr>
          <w:rFonts w:ascii="Times New Roman" w:hAnsi="Times New Roman" w:cs="Times New Roman"/>
          <w:u w:val="none"/>
          <w:sz w:val="24"/>
          <w:position w:val="0"/>
          <w:color w:val="000000"/>
          <w:noProof w:val="true"/>
          <w:spacing w:val="-3"/>
          <w:w w:val="100"/>
        </w:rPr>
        <w:t>S7B</w:t>
      </w:r>
      <w:r>
        <w:rPr>
          <w:rFonts w:ascii="宋体" w:eastAsia="宋体" w:hAnsi="宋体" w:cs="宋体"/>
          <w:u w:val="none"/>
          <w:sz w:val="24"/>
          <w:position w:val="0"/>
          <w:color w:val="000000"/>
          <w:noProof w:val="true"/>
          <w:spacing w:val="-5"/>
          <w:w w:val="100"/>
        </w:rPr>
        <w:t>指导原则中所</w:t>
      </w:r>
    </w:p>
    <w:p w:rsidR="005A76FB" w:rsidRDefault="005A76FB" w:rsidP="005A76FB">
      <w:pPr>
        <w:spacing w:before="0" w:after="0" w:line="447" w:lineRule="exact"/>
        <w:ind w:firstLine="1416" w:left="-1354"/>
        <w:jc w:val="left"/>
        <w:rPr/>
      </w:pPr>
      <w:r>
        <w:rPr>
          <w:rFonts w:ascii="宋体" w:hAnsi="宋体" w:cs="宋体"/>
          <w:u w:val="none"/>
          <w:sz w:val="24"/>
          <w:position w:val="0"/>
          <w:color w:val="000000"/>
          <w:noProof w:val="true"/>
          <w:spacing w:val="-5"/>
          <w:w w:val="100"/>
        </w:rPr>
        <w:t>描述的合适的安全药理学研究。若不存在特定风险，为支持临床试验和上市，可不要</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求进行这些研究。</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2.3</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药代动力学</w:t>
      </w:r>
    </w:p>
    <w:p w:rsidR="005A76FB" w:rsidRDefault="005A76FB" w:rsidP="005A76FB">
      <w:pPr>
        <w:spacing w:before="0" w:after="0" w:line="452" w:lineRule="exact"/>
        <w:ind w:firstLine="1896" w:left="-1354"/>
        <w:jc w:val="left"/>
        <w:rPr/>
      </w:pPr>
      <w:r>
        <w:rPr>
          <w:rFonts w:ascii="宋体" w:hAnsi="宋体" w:cs="宋体"/>
          <w:u w:val="none"/>
          <w:sz w:val="24"/>
          <w:position w:val="0"/>
          <w:color w:val="000000"/>
          <w:noProof w:val="true"/>
          <w:spacing w:val="-5"/>
          <w:w w:val="100"/>
        </w:rPr>
        <w:t>对非临床研究所用动物中有限的药代动力学参数（如血药浓度峰值、曲线下面积</w:t>
      </w:r>
    </w:p>
    <w:p w:rsidR="005A76FB" w:rsidRDefault="005A76FB" w:rsidP="005A76FB">
      <w:pPr>
        <w:spacing w:before="0" w:after="0" w:lineRule="exact" w:line="218"/>
        <w:ind w:firstLine="1896" w:left="-1354"/>
        <w:rPr/>
      </w:pPr>
    </w:p>
    <w:p w:rsidR="005A76FB" w:rsidRDefault="005A76FB" w:rsidP="005A76FB">
      <w:pPr>
        <w:spacing w:before="0" w:after="0" w:line="265" w:lineRule="exact"/>
        <w:ind w:firstLine="1416" w:left="-1354"/>
        <w:jc w:val="left"/>
        <w:rPr/>
      </w:pPr>
      <w:r>
        <w:rPr>
          <w:rFonts w:ascii="宋体" w:eastAsia="宋体" w:hAnsi="宋体" w:cs="宋体"/>
          <w:u w:val="none"/>
          <w:sz w:val="24"/>
          <w:position w:val="0"/>
          <w:color w:val="000000"/>
          <w:noProof w:val="true"/>
          <w:spacing w:val="-5"/>
          <w:w w:val="100"/>
        </w:rPr>
        <w:t>（</w:t>
      </w:r>
      <w:r>
        <w:rPr>
          <w:rFonts w:ascii="Times New Roman" w:hAnsi="Times New Roman" w:cs="Times New Roman"/>
          <w:u w:val="none"/>
          <w:sz w:val="24"/>
          <w:position w:val="0"/>
          <w:color w:val="000000"/>
          <w:noProof w:val="true"/>
          <w:spacing w:val="-5"/>
          <w:w w:val="100"/>
        </w:rPr>
        <w:t>AUC</w:t>
      </w:r>
      <w:r>
        <w:rPr>
          <w:rFonts w:ascii="宋体" w:hAnsi="宋体" w:cs="宋体"/>
          <w:u w:val="none"/>
          <w:sz w:val="24"/>
          <w:position w:val="0"/>
          <w:color w:val="000000"/>
          <w:noProof w:val="true"/>
          <w:spacing w:val="-5"/>
          <w:w w:val="100"/>
        </w:rPr>
        <w:t>）和半衰期）的评价，有助于Ⅰ期研究中的剂量选择、给药方案安排和剂量递</w:t>
      </w:r>
    </w:p>
    <w:p w:rsidR="005A76FB" w:rsidRDefault="005A76FB" w:rsidP="005A76FB">
      <w:pPr>
        <w:spacing w:before="0" w:after="0" w:line="452" w:lineRule="exact"/>
        <w:ind w:firstLine="1416" w:left="-1354"/>
        <w:jc w:val="left"/>
        <w:rPr/>
      </w:pPr>
      <w:r>
        <w:rPr>
          <w:rFonts w:ascii="宋体" w:hAnsi="宋体" w:cs="宋体"/>
          <w:u w:val="none"/>
          <w:sz w:val="24"/>
          <w:position w:val="0"/>
          <w:color w:val="000000"/>
          <w:noProof w:val="true"/>
          <w:spacing w:val="-5"/>
          <w:w w:val="100"/>
        </w:rPr>
        <w:t>增。药物在动物中的吸收、分布、代谢和排泄的进一步信息，通常应在临床试验期间</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平行开展研究获得。</w:t>
      </w:r>
    </w:p>
    <w:p w:rsidR="005A76FB" w:rsidRDefault="005A76FB" w:rsidP="005A76FB">
      <w:pPr>
        <w:spacing w:before="0" w:after="0" w:lineRule="exact" w:line="222"/>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2.4</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一般毒理学</w:t>
      </w:r>
    </w:p>
    <w:p w:rsidR="005A76FB" w:rsidRDefault="005A76FB" w:rsidP="005A76FB">
      <w:pPr>
        <w:spacing w:before="0" w:after="0" w:line="448" w:lineRule="exact"/>
        <w:ind w:firstLine="1896" w:left="-1354"/>
        <w:jc w:val="left"/>
        <w:rPr/>
      </w:pPr>
      <w:r>
        <w:rPr>
          <w:rFonts w:ascii="宋体" w:hAnsi="宋体" w:cs="宋体"/>
          <w:u w:val="none"/>
          <w:sz w:val="24"/>
          <w:position w:val="0"/>
          <w:color w:val="000000"/>
          <w:noProof w:val="true"/>
          <w:spacing w:val="-5"/>
          <w:w w:val="100"/>
        </w:rPr>
        <w:t>在晚期肿瘤患者中进行Ⅰ期临床试验的主要目的是评价药物的安全性。Ⅰ期临床</w:t>
      </w:r>
    </w:p>
    <w:p w:rsidR="005A76FB" w:rsidRDefault="005A76FB" w:rsidP="005A76FB">
      <w:pPr>
        <w:spacing w:before="0" w:after="0" w:lineRule="exact" w:line="222"/>
        <w:ind w:firstLine="1896" w:left="-1354"/>
        <w:rPr/>
      </w:pPr>
    </w:p>
    <w:p w:rsidR="005A76FB" w:rsidRDefault="005A76FB" w:rsidP="005A76FB">
      <w:pPr>
        <w:spacing w:before="0" w:after="0" w:line="265" w:lineRule="exact"/>
        <w:ind w:firstLine="1416" w:left="-1354"/>
        <w:jc w:val="left"/>
        <w:rPr/>
      </w:pPr>
      <w:r>
        <w:rPr>
          <w:rFonts w:ascii="宋体" w:eastAsia="宋体" w:hAnsi="宋体" w:cs="宋体"/>
          <w:u w:val="none"/>
          <w:sz w:val="24"/>
          <w:position w:val="0"/>
          <w:color w:val="000000"/>
          <w:noProof w:val="true"/>
          <w:spacing w:val="-5"/>
          <w:w w:val="100"/>
        </w:rPr>
        <w:t>试验评价包括剂量递增至最大耐受剂量（</w:t>
      </w:r>
      <w:r>
        <w:rPr>
          <w:rFonts w:ascii="Times New Roman" w:hAnsi="Times New Roman" w:cs="Times New Roman"/>
          <w:u w:val="none"/>
          <w:sz w:val="24"/>
          <w:position w:val="0"/>
          <w:color w:val="000000"/>
          <w:noProof w:val="true"/>
          <w:spacing w:val="-4"/>
          <w:w w:val="100"/>
        </w:rPr>
        <w:t>MTD</w:t>
      </w:r>
      <w:r>
        <w:rPr>
          <w:rFonts w:ascii="宋体" w:eastAsia="宋体" w:hAnsi="宋体" w:cs="宋体"/>
          <w:u w:val="none"/>
          <w:sz w:val="24"/>
          <w:position w:val="0"/>
          <w:color w:val="000000"/>
          <w:noProof w:val="true"/>
          <w:spacing w:val="-5"/>
          <w:w w:val="100"/>
        </w:rPr>
        <w:t>）和剂量限制性毒性（</w:t>
      </w:r>
      <w:r>
        <w:rPr>
          <w:rFonts w:ascii="Times New Roman" w:hAnsi="Times New Roman" w:cs="Times New Roman"/>
          <w:u w:val="none"/>
          <w:sz w:val="24"/>
          <w:position w:val="0"/>
          <w:color w:val="000000"/>
          <w:noProof w:val="true"/>
          <w:spacing w:val="-5"/>
          <w:w w:val="100"/>
        </w:rPr>
        <w:t>DLT</w:t>
      </w:r>
      <w:r>
        <w:rPr>
          <w:rFonts w:ascii="宋体" w:hAnsi="宋体" w:cs="宋体"/>
          <w:u w:val="none"/>
          <w:sz w:val="24"/>
          <w:position w:val="0"/>
          <w:color w:val="000000"/>
          <w:noProof w:val="true"/>
          <w:spacing w:val="-5"/>
          <w:w w:val="100"/>
        </w:rPr>
        <w:t>）。确定未</w:t>
      </w:r>
    </w:p>
    <w:p w:rsidR="005A76FB" w:rsidRDefault="005A76FB" w:rsidP="005A76FB">
      <w:pPr>
        <w:spacing w:before="0" w:after="0" w:line="465" w:lineRule="exact"/>
        <w:ind w:firstLine="1416" w:left="-1354"/>
        <w:jc w:val="left"/>
        <w:rPr/>
      </w:pPr>
      <w:r>
        <w:rPr>
          <w:rFonts w:ascii="宋体" w:eastAsia="宋体" w:hAnsi="宋体" w:cs="宋体"/>
          <w:u w:val="none"/>
          <w:sz w:val="24"/>
          <w:position w:val="0"/>
          <w:color w:val="000000"/>
          <w:noProof w:val="true"/>
          <w:spacing w:val="-5"/>
          <w:w w:val="100"/>
        </w:rPr>
        <w:t>观察到不良反应的剂量水平（</w:t>
      </w:r>
      <w:r>
        <w:rPr>
          <w:rFonts w:ascii="Times New Roman" w:hAnsi="Times New Roman" w:cs="Times New Roman"/>
          <w:u w:val="none"/>
          <w:sz w:val="24"/>
          <w:position w:val="0"/>
          <w:color w:val="000000"/>
          <w:noProof w:val="true"/>
          <w:spacing w:val="-5"/>
          <w:w w:val="100"/>
        </w:rPr>
        <w:t>NOAEL</w:t>
      </w:r>
      <w:r>
        <w:rPr>
          <w:rFonts w:ascii="宋体" w:eastAsia="宋体" w:hAnsi="宋体" w:cs="宋体"/>
          <w:u w:val="none"/>
          <w:sz w:val="24"/>
          <w:position w:val="0"/>
          <w:color w:val="000000"/>
          <w:noProof w:val="true"/>
          <w:spacing w:val="-5"/>
          <w:w w:val="100"/>
        </w:rPr>
        <w:t>）或未观察到反应的剂量水平（</w:t>
      </w:r>
      <w:r>
        <w:rPr>
          <w:rFonts w:ascii="Times New Roman" w:hAnsi="Times New Roman" w:cs="Times New Roman"/>
          <w:u w:val="none"/>
          <w:sz w:val="24"/>
          <w:position w:val="0"/>
          <w:color w:val="000000"/>
          <w:noProof w:val="true"/>
          <w:spacing w:val="-4"/>
          <w:w w:val="100"/>
        </w:rPr>
        <w:t>NOEL</w:t>
      </w:r>
      <w:r>
        <w:rPr>
          <w:rFonts w:ascii="宋体" w:eastAsia="宋体" w:hAnsi="宋体" w:cs="宋体"/>
          <w:u w:val="none"/>
          <w:sz w:val="24"/>
          <w:position w:val="0"/>
          <w:color w:val="000000"/>
          <w:noProof w:val="true"/>
          <w:spacing w:val="-5"/>
          <w:w w:val="100"/>
        </w:rPr>
        <w:t>）的毒性</w:t>
      </w:r>
    </w:p>
    <w:p w:rsidR="005A76FB" w:rsidRDefault="005A76FB" w:rsidP="005A76FB">
      <w:pPr>
        <w:spacing w:before="0" w:after="0" w:line="452" w:lineRule="exact"/>
        <w:ind w:firstLine="1416" w:left="-1354"/>
        <w:jc w:val="left"/>
        <w:rPr/>
      </w:pPr>
      <w:r>
        <w:rPr>
          <w:rFonts w:ascii="宋体" w:hAnsi="宋体" w:cs="宋体"/>
          <w:u w:val="none"/>
          <w:sz w:val="24"/>
          <w:position w:val="0"/>
          <w:color w:val="000000"/>
          <w:noProof w:val="true"/>
          <w:spacing w:val="-5"/>
          <w:w w:val="100"/>
        </w:rPr>
        <w:t>试验，对于支持抗肿瘤药物的临床应用不是必需的。由于药物的毒性在很大程度上受</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416" w:left="-1354"/>
        <w:jc w:val="left"/>
        <w:rPr/>
      </w:pPr>
      <w:r>
        <w:rPr>
          <w:rFonts w:ascii="宋体" w:hAnsi="宋体" w:cs="宋体"/>
          <w:u w:val="none"/>
          <w:sz w:val="24"/>
          <w:position w:val="0"/>
          <w:color w:val="000000"/>
          <w:noProof w:val="true"/>
          <w:spacing w:val="-5"/>
          <w:w w:val="100"/>
        </w:rPr>
        <w:t>到给药方案的影响，应在毒理学试验中评价相类似的临床给药方案。这点将在</w:t>
      </w:r>
      <w:r>
        <w:rPr>
          <w:rFonts w:ascii="Times New Roman" w:hAnsi="Times New Roman" w:cs="Times New Roman"/>
          <w:u w:val="none"/>
          <w:sz w:val="24"/>
          <w:position w:val="0"/>
          <w:color w:val="000000"/>
          <w:noProof w:val="true"/>
          <w:spacing w:val="-2"/>
          <w:w w:val="100"/>
        </w:rPr>
        <w:t>3.3</w:t>
      </w:r>
      <w:r>
        <w:rPr>
          <w:rFonts w:ascii="宋体" w:eastAsia="宋体" w:hAnsi="宋体" w:cs="宋体"/>
          <w:u w:val="none"/>
          <w:sz w:val="24"/>
          <w:position w:val="0"/>
          <w:color w:val="000000"/>
          <w:noProof w:val="true"/>
          <w:spacing w:val="-5"/>
          <w:w w:val="100"/>
        </w:rPr>
        <w:t>和</w:t>
      </w:r>
      <w:r>
        <w:rPr>
          <w:rFonts w:ascii="Times New Roman" w:hAnsi="Times New Roman" w:cs="Times New Roman"/>
          <w:u w:val="none"/>
          <w:sz w:val="24"/>
          <w:position w:val="0"/>
          <w:color w:val="000000"/>
          <w:noProof w:val="true"/>
          <w:spacing w:val="-2"/>
          <w:w w:val="100"/>
        </w:rPr>
        <w:t>3.4</w:t>
      </w:r>
    </w:p>
    <w:p w:rsidR="005A76FB" w:rsidRDefault="005A76FB" w:rsidP="005A76FB">
      <w:pPr>
        <w:spacing w:before="0" w:after="0" w:line="452" w:lineRule="exact"/>
        <w:ind w:firstLine="1416" w:left="-1354"/>
        <w:jc w:val="left"/>
        <w:rPr/>
      </w:pPr>
      <w:r>
        <w:rPr>
          <w:rFonts w:ascii="宋体" w:hAnsi="宋体" w:cs="宋体"/>
          <w:u w:val="none"/>
          <w:sz w:val="24"/>
          <w:position w:val="0"/>
          <w:color w:val="000000"/>
          <w:noProof w:val="true"/>
          <w:spacing w:val="-5"/>
          <w:w w:val="100"/>
        </w:rPr>
        <w:t>章节进一步讨论。</w:t>
      </w:r>
    </w:p>
    <w:p w:rsidR="005A76FB" w:rsidRDefault="005A76FB" w:rsidP="005A76FB">
      <w:pPr>
        <w:spacing w:before="0" w:after="0" w:line="465" w:lineRule="exact"/>
        <w:ind w:firstLine="1896" w:left="-1354"/>
        <w:jc w:val="left"/>
        <w:rPr/>
      </w:pPr>
      <w:r>
        <w:rPr>
          <w:rFonts w:ascii="宋体" w:hAnsi="宋体" w:cs="宋体"/>
          <w:u w:val="none"/>
          <w:sz w:val="24"/>
          <w:position w:val="0"/>
          <w:color w:val="000000"/>
          <w:noProof w:val="true"/>
          <w:spacing w:val="-5"/>
          <w:w w:val="100"/>
        </w:rPr>
        <w:t>应对毒性恢复的可能性进行评价，以了解严重的毒性反应是否可逆。当在临床暴</w:t>
      </w:r>
    </w:p>
    <w:p w:rsidR="005A76FB" w:rsidRDefault="005A76FB" w:rsidP="005A76FB">
      <w:pPr>
        <w:spacing w:before="0" w:after="0" w:line="470" w:lineRule="exact"/>
        <w:ind w:firstLine="1416" w:left="-1354"/>
        <w:jc w:val="left"/>
        <w:rPr/>
      </w:pPr>
      <w:r>
        <w:rPr>
          <w:rFonts w:ascii="宋体" w:eastAsia="宋体" w:hAnsi="宋体" w:cs="宋体"/>
          <w:u w:val="none"/>
          <w:sz w:val="24"/>
          <w:position w:val="0"/>
          <w:color w:val="000000"/>
          <w:noProof w:val="true"/>
          <w:spacing w:val="-5"/>
          <w:w w:val="100"/>
        </w:rPr>
        <w:t>露量附近出现严重毒性，且通过科学评价难以预测其恢复性时，一般毒理学研究要求</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在试验末段包含停药期。该科学评价应包括病理损伤的程度和严重性，以及受损器官</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的再生能力。如果需要进行含恢复期的试验，应该在临床研究之前获得试验结果。完</w:t>
      </w:r>
    </w:p>
    <w:p w:rsidR="005A76FB" w:rsidRDefault="005A76FB" w:rsidP="005A76FB">
      <w:pPr>
        <w:spacing w:before="0" w:after="0" w:line="466" w:lineRule="exact"/>
        <w:ind w:firstLine="1416" w:left="-1354"/>
        <w:jc w:val="left"/>
        <w:rPr/>
      </w:pPr>
      <w:r>
        <w:rPr>
          <w:rFonts w:ascii="宋体" w:hAnsi="宋体" w:cs="宋体"/>
          <w:u w:val="none"/>
          <w:sz w:val="24"/>
          <w:position w:val="0"/>
          <w:color w:val="000000"/>
          <w:noProof w:val="true"/>
          <w:spacing w:val="-5"/>
          <w:w w:val="100"/>
        </w:rPr>
        <w:t>全的恢复通常认为不是必需的。</w:t>
      </w:r>
    </w:p>
    <w:p w:rsidR="005A76FB" w:rsidRDefault="005A76FB" w:rsidP="005A76FB">
      <w:pPr>
        <w:spacing w:before="0" w:after="0" w:line="470" w:lineRule="exact"/>
        <w:ind w:firstLine="1896" w:left="-1354"/>
        <w:jc w:val="left"/>
        <w:rPr/>
      </w:pPr>
      <w:r>
        <w:rPr>
          <w:rFonts w:ascii="宋体" w:hAnsi="宋体" w:cs="宋体"/>
          <w:u w:val="none"/>
          <w:sz w:val="24"/>
          <w:position w:val="0"/>
          <w:color w:val="000000"/>
          <w:noProof w:val="true"/>
          <w:spacing w:val="-5"/>
          <w:w w:val="100"/>
        </w:rPr>
        <w:t>对于小分子药物，一般毒理学试验通常包括啮齿类和非啮齿类动物的试验。根据</w:t>
      </w:r>
    </w:p>
    <w:p w:rsidR="005A76FB" w:rsidRDefault="005A76FB" w:rsidP="005A76FB">
      <w:pPr>
        <w:spacing w:before="0" w:after="0" w:line="465" w:lineRule="exact"/>
        <w:ind w:firstLine="1416" w:left="-1354"/>
        <w:jc w:val="left"/>
        <w:rPr/>
      </w:pPr>
      <w:r>
        <w:rPr>
          <w:rFonts w:ascii="宋体" w:eastAsia="宋体" w:hAnsi="宋体" w:cs="宋体"/>
          <w:u w:val="none"/>
          <w:sz w:val="24"/>
          <w:position w:val="0"/>
          <w:color w:val="000000"/>
          <w:noProof w:val="true"/>
          <w:spacing w:val="-5"/>
          <w:w w:val="100"/>
        </w:rPr>
        <w:t>具体问题具体分析的原则，在某些情况下，采用替代试验方法也是合适的（如靶向快</w:t>
      </w:r>
    </w:p>
    <w:p w:rsidR="005A76FB" w:rsidRDefault="005A76FB" w:rsidP="005A76FB">
      <w:pPr>
        <w:spacing w:before="0" w:after="0" w:line="470" w:lineRule="exact"/>
        <w:ind w:firstLine="1416" w:left="-1354"/>
        <w:jc w:val="left"/>
        <w:rPr/>
      </w:pPr>
      <w:r>
        <w:rPr>
          <w:rFonts w:ascii="宋体" w:eastAsia="宋体" w:hAnsi="宋体" w:cs="宋体"/>
          <w:u w:val="none"/>
          <w:sz w:val="24"/>
          <w:position w:val="0"/>
          <w:color w:val="000000"/>
          <w:noProof w:val="true"/>
          <w:spacing w:val="-5"/>
          <w:w w:val="100"/>
        </w:rPr>
        <w:t>速分裂细胞的遗传毒性药物，如果啮齿类动物是相关动物种属，则在一种啮齿类动物</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种属开展重复给药毒性试验可能认为是足够的）。对于生物药物，动物种属数量的要</w:t>
      </w:r>
    </w:p>
    <w:p w:rsidR="005A76FB" w:rsidRDefault="005A76FB" w:rsidP="005A76FB">
      <w:pPr>
        <w:spacing w:before="0" w:after="0" w:lineRule="exact" w:line="222"/>
        <w:ind w:firstLine="1416" w:left="-1354"/>
        <w:rPr/>
      </w:pPr>
    </w:p>
    <w:p w:rsidR="005A76FB" w:rsidRDefault="005A76FB" w:rsidP="005A76FB">
      <w:pPr>
        <w:spacing w:before="0" w:after="0" w:line="265" w:lineRule="exact"/>
        <w:ind w:firstLine="1416" w:left="-1354"/>
        <w:jc w:val="left"/>
        <w:rPr/>
      </w:pPr>
      <w:r>
        <w:rPr>
          <w:rFonts w:ascii="宋体" w:eastAsia="宋体" w:hAnsi="宋体" w:cs="宋体"/>
          <w:u w:val="none"/>
          <w:sz w:val="24"/>
          <w:position w:val="0"/>
          <w:color w:val="000000"/>
          <w:noProof w:val="true"/>
          <w:spacing w:val="-5"/>
          <w:w w:val="100"/>
        </w:rPr>
        <w:t>求参见</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5"/>
          <w:w w:val="100"/>
        </w:rPr>
        <w:t> </w:t>
      </w:r>
      <w:r>
        <w:rPr>
          <w:rFonts w:ascii="Times New Roman" w:hAnsi="Times New Roman" w:cs="Times New Roman"/>
          <w:u w:val="none"/>
          <w:sz w:val="24"/>
          <w:position w:val="0"/>
          <w:color w:val="000000"/>
          <w:noProof w:val="true"/>
          <w:spacing w:val="-3"/>
          <w:w w:val="100"/>
        </w:rPr>
        <w:t>S6</w:t>
      </w:r>
      <w:r>
        <w:rPr>
          <w:rFonts w:ascii="宋体" w:hAnsi="宋体" w:cs="宋体"/>
          <w:u w:val="none"/>
          <w:sz w:val="24"/>
          <w:position w:val="0"/>
          <w:color w:val="000000"/>
          <w:noProof w:val="true"/>
          <w:spacing w:val="-5"/>
          <w:w w:val="100"/>
        </w:rPr>
        <w:t>。</w:t>
      </w:r>
    </w:p>
    <w:p w:rsidR="005A76FB" w:rsidRDefault="005A76FB" w:rsidP="005A76FB">
      <w:pPr>
        <w:spacing w:before="0" w:after="0" w:line="447" w:lineRule="exact"/>
        <w:ind w:firstLine="1896" w:left="-1354"/>
        <w:jc w:val="left"/>
        <w:rPr/>
      </w:pPr>
      <w:r>
        <w:rPr>
          <w:rFonts w:ascii="宋体" w:hAnsi="宋体" w:cs="宋体"/>
          <w:u w:val="none"/>
          <w:sz w:val="24"/>
          <w:position w:val="0"/>
          <w:color w:val="000000"/>
          <w:noProof w:val="true"/>
          <w:spacing w:val="-5"/>
          <w:w w:val="100"/>
        </w:rPr>
        <w:t>在适当情况下应进行毒代动力学评价。</w:t>
      </w:r>
    </w:p>
    <w:p w:rsidR="005A76FB" w:rsidRDefault="005A76FB" w:rsidP="005A76FB">
      <w:pPr>
        <w:spacing w:before="0" w:after="0" w:lineRule="exact" w:line="223"/>
        <w:ind w:firstLine="189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2.5</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生殖毒性</w:t>
      </w:r>
    </w:p>
    <w:p w:rsidR="005A76FB" w:rsidRDefault="005A76FB" w:rsidP="005A76FB">
      <w:pPr>
        <w:spacing w:before="0" w:after="0" w:line="447" w:lineRule="exact"/>
        <w:ind w:firstLine="1896" w:left="-1354"/>
        <w:jc w:val="left"/>
        <w:rPr/>
      </w:pPr>
      <w:r>
        <w:rPr>
          <w:rFonts w:ascii="宋体" w:eastAsia="宋体" w:hAnsi="宋体" w:cs="宋体"/>
          <w:u w:val="none"/>
          <w:sz w:val="24"/>
          <w:position w:val="0"/>
          <w:color w:val="000000"/>
          <w:noProof w:val="true"/>
          <w:spacing w:val="-5"/>
          <w:w w:val="100"/>
        </w:rPr>
        <w:t>为了揭示药物对已经怀孕或可能怀孕患者发育中胚胎或胎儿的潜在风险，应进行</w:t>
      </w:r>
    </w:p>
    <w:p w:rsidR="005A76FB" w:rsidRDefault="005A76FB" w:rsidP="005A76FB">
      <w:pPr>
        <w:spacing w:before="0" w:after="0" w:lineRule="exact" w:line="222"/>
        <w:ind w:firstLine="1896" w:left="-1354"/>
        <w:rPr/>
      </w:pPr>
    </w:p>
    <w:p w:rsidR="005A76FB" w:rsidRDefault="005A76FB" w:rsidP="005A76FB">
      <w:pPr>
        <w:spacing w:before="0" w:after="0" w:line="265" w:lineRule="exact"/>
        <w:ind w:firstLine="1416" w:left="-1354"/>
        <w:jc w:val="left"/>
        <w:rPr/>
      </w:pPr>
      <w:r>
        <w:rPr>
          <w:rFonts w:ascii="宋体" w:eastAsia="宋体" w:hAnsi="宋体" w:cs="宋体"/>
          <w:u w:val="none"/>
          <w:sz w:val="24"/>
          <w:position w:val="0"/>
          <w:color w:val="000000"/>
          <w:noProof w:val="true"/>
          <w:spacing w:val="-5"/>
          <w:w w:val="100"/>
        </w:rPr>
        <w:t>胚胎</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0"/>
          <w:color w:val="000000"/>
          <w:noProof w:val="true"/>
          <w:spacing w:val="-5"/>
          <w:w w:val="100"/>
        </w:rPr>
        <w:t>胎仔毒性评价。抗肿瘤药物的胚胎</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胎仔毒性试验应该在上市前完成，但不是支持</w:t>
      </w:r>
    </w:p>
    <w:p w:rsidR="005A76FB" w:rsidRDefault="005A76FB" w:rsidP="005A76FB">
      <w:pPr>
        <w:spacing w:before="0" w:after="0" w:line="447" w:lineRule="exact"/>
        <w:ind w:firstLine="1416" w:left="-1354"/>
        <w:jc w:val="left"/>
        <w:rPr/>
      </w:pPr>
      <w:r>
        <w:rPr>
          <w:rFonts w:ascii="宋体" w:hAnsi="宋体" w:cs="宋体"/>
          <w:u w:val="none"/>
          <w:sz w:val="24"/>
          <w:position w:val="0"/>
          <w:color w:val="000000"/>
          <w:noProof w:val="true"/>
          <w:spacing w:val="-5"/>
          <w:w w:val="100"/>
        </w:rPr>
        <w:t>拟用于晚期肿瘤患者的药物临床试验所必需的。对于那些有遗传毒性且在一般毒理学</w:t>
      </w:r>
    </w:p>
    <w:p w:rsidR="005A76FB" w:rsidRDefault="005A76FB" w:rsidP="005A76FB">
      <w:pPr>
        <w:sectPr w:rsidR="005A76FB" w:rsidSect="005A76FB">
          <w:type w:val="continuous"/>
          <w:pgSz w:w="11904" w:h="16838"/>
          <w:pgMar w:top="950" w:right="995" w:bottom="710" w:left="1355" w:header="0" w:footer="0" w:gutter="0"/>
        </w:sectPr>
        <w:spacing w:before="0" w:after="0" w:line="356" w:lineRule="exact"/>
        <w:ind w:firstLine="10398" w:left="-1354"/>
        <w:jc w:val="left"/>
        <w:rPr/>
      </w:pPr>
      <w:r>
        <w:rPr>
          <w:rFonts w:ascii="Times New Roman" w:hAnsi="Times New Roman" w:cs="Times New Roman"/>
          <w:u w:val="none"/>
          <w:sz w:val="18"/>
          <w:position w:val="0"/>
          <w:color w:val="000000"/>
          <w:noProof w:val="true"/>
          <w:spacing w:val="-3"/>
          <w:w w:val="100"/>
        </w:rPr>
        <w:t>6</w:t>
      </w:r>
    </w:p>
    <w:bookmarkStart w:id="7" w:name="7"/>
    <w:bookmarkEnd w:id="7"/>
    <w:p w:rsidR="005A76FB" w:rsidRDefault="005A76FB" w:rsidP="005A76FB">
      <w:pPr>
        <w:spacing w:before="0" w:after="0" w:lineRule="exact" w:line="240"/>
        <w:ind/>
        <w:rPr/>
      </w:pPr>
    </w:p>
    <w:p w:rsidR="005A76FB" w:rsidRDefault="005A76FB" w:rsidP="005A76FB">
      <w:pPr>
        <w:spacing w:before="0" w:after="0" w:line="272" w:lineRule="exact"/>
        <w:ind w:left="-1354" w:firstLine="1416"/>
        <w:jc w:val="left"/>
        <w:rPr/>
      </w:pPr>
      <w:r>
        <w:rPr>
          <w:rFonts w:ascii="宋体" w:eastAsia="宋体" w:hAnsi="宋体" w:cs="宋体"/>
          <w:u w:val="none"/>
          <w:sz w:val="24"/>
          <w:position w:val="0"/>
          <w:color w:val="000000"/>
          <w:noProof w:val="true"/>
          <w:spacing w:val="-5"/>
          <w:w w:val="100"/>
        </w:rPr>
        <w:t>试验中靶向快速分裂细胞（如</w:t>
      </w:r>
      <w:r>
        <w:rPr>
          <w:rFonts w:ascii="Times New Roman" w:hAnsi="Times New Roman" w:cs="Times New Roman"/>
          <w:u w:val="none"/>
          <w:sz w:val="24"/>
          <w:position w:val="0"/>
          <w:color w:val="000000"/>
          <w:noProof w:val="true"/>
          <w:spacing w:val="-3"/>
          <w:w w:val="100"/>
        </w:rPr>
        <w:t>crypt</w:t>
      </w:r>
      <w:r>
        <w:rPr>
          <w:rFonts w:ascii="宋体" w:hAnsi="宋体" w:cs="宋体"/>
          <w:u w:val="none"/>
          <w:sz w:val="24"/>
          <w:position w:val="0"/>
          <w:color w:val="000000"/>
          <w:noProof w:val="true"/>
          <w:spacing w:val="-5"/>
          <w:w w:val="100"/>
        </w:rPr>
        <w:t>细胞、骨髓）的药物，或者归属于确定可引起生殖</w:t>
      </w:r>
    </w:p>
    <w:p w:rsidR="005A76FB" w:rsidRDefault="005A76FB" w:rsidP="005A76FB">
      <w:pPr>
        <w:spacing w:before="0" w:after="0" w:line="452" w:lineRule="exact"/>
        <w:ind w:firstLine="1416" w:left="-1354"/>
        <w:jc w:val="left"/>
        <w:rPr/>
      </w:pPr>
      <w:r>
        <w:rPr>
          <w:rFonts w:ascii="宋体" w:hAnsi="宋体" w:cs="宋体"/>
          <w:u w:val="none"/>
          <w:sz w:val="24"/>
          <w:position w:val="0"/>
          <w:color w:val="000000"/>
          <w:noProof w:val="true"/>
          <w:spacing w:val="-5"/>
          <w:w w:val="100"/>
        </w:rPr>
        <w:t>毒性的药物类别，这些生殖毒性试验在上市时也不是必需的。</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896" w:left="-1354"/>
        <w:jc w:val="left"/>
        <w:rPr/>
      </w:pPr>
      <w:r>
        <w:rPr>
          <w:rFonts w:ascii="宋体" w:eastAsia="宋体" w:hAnsi="宋体" w:cs="宋体"/>
          <w:u w:val="none"/>
          <w:sz w:val="24"/>
          <w:position w:val="0"/>
          <w:color w:val="000000"/>
          <w:noProof w:val="true"/>
          <w:spacing w:val="-5"/>
          <w:w w:val="100"/>
        </w:rPr>
        <w:t>对于小分子药物，如</w:t>
      </w:r>
      <w:r>
        <w:rPr>
          <w:rFonts w:ascii="Times New Roman" w:hAnsi="Times New Roman" w:cs="Times New Roman"/>
          <w:u w:val="none"/>
          <w:sz w:val="24"/>
          <w:position w:val="0"/>
          <w:color w:val="000000"/>
          <w:noProof w:val="true"/>
          <w:spacing w:val="-3"/>
          <w:w w:val="100"/>
        </w:rPr>
        <w:t>ICHS5</w:t>
      </w:r>
      <w:r>
        <w:rPr>
          <w:rFonts w:ascii="宋体" w:eastAsia="宋体" w:hAnsi="宋体" w:cs="宋体"/>
          <w:u w:val="none"/>
          <w:sz w:val="24"/>
          <w:position w:val="0"/>
          <w:color w:val="000000"/>
          <w:noProof w:val="true"/>
          <w:spacing w:val="-5"/>
          <w:w w:val="100"/>
        </w:rPr>
        <w:t>（</w:t>
      </w:r>
      <w:r>
        <w:rPr>
          <w:rFonts w:ascii="Times New Roman" w:hAnsi="Times New Roman" w:cs="Times New Roman"/>
          <w:u w:val="none"/>
          <w:sz w:val="24"/>
          <w:position w:val="0"/>
          <w:color w:val="000000"/>
          <w:noProof w:val="true"/>
          <w:spacing w:val="-4"/>
          <w:w w:val="100"/>
        </w:rPr>
        <w:t>R2</w:t>
      </w:r>
      <w:r>
        <w:rPr>
          <w:rFonts w:ascii="宋体" w:eastAsia="宋体" w:hAnsi="宋体" w:cs="宋体"/>
          <w:u w:val="none"/>
          <w:sz w:val="24"/>
          <w:position w:val="0"/>
          <w:color w:val="000000"/>
          <w:noProof w:val="true"/>
          <w:spacing w:val="-5"/>
          <w:w w:val="100"/>
        </w:rPr>
        <w:t>）指导原则中所述，胚胎</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胎仔毒性试验通常在两</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种动物种属中进行。当胚胎</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胎仔发育毒性试验在一种动物种属已显示胚胎</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胎仔致死性</w:t>
      </w:r>
    </w:p>
    <w:p w:rsidR="005A76FB" w:rsidRDefault="005A76FB" w:rsidP="005A76FB">
      <w:pPr>
        <w:spacing w:before="0" w:after="0" w:line="447" w:lineRule="exact"/>
        <w:ind w:firstLine="1416" w:left="-1354"/>
        <w:jc w:val="left"/>
        <w:rPr/>
      </w:pPr>
      <w:r>
        <w:rPr>
          <w:rFonts w:ascii="宋体" w:hAnsi="宋体" w:cs="宋体"/>
          <w:u w:val="none"/>
          <w:sz w:val="24"/>
          <w:position w:val="0"/>
          <w:color w:val="000000"/>
          <w:noProof w:val="true"/>
          <w:spacing w:val="-5"/>
          <w:w w:val="100"/>
        </w:rPr>
        <w:t>或致畸性的阳性结果时，一般不必在第二个动物种属进行确证性试验。</w:t>
      </w:r>
    </w:p>
    <w:p w:rsidR="005A76FB" w:rsidRDefault="005A76FB" w:rsidP="005A76FB">
      <w:pPr>
        <w:spacing w:before="0" w:after="0" w:line="470" w:lineRule="exact"/>
        <w:ind w:firstLine="1896" w:left="-1354"/>
        <w:jc w:val="left"/>
        <w:rPr/>
      </w:pPr>
      <w:r>
        <w:rPr>
          <w:rFonts w:ascii="宋体" w:hAnsi="宋体" w:cs="宋体"/>
          <w:u w:val="none"/>
          <w:sz w:val="24"/>
          <w:position w:val="0"/>
          <w:color w:val="000000"/>
          <w:noProof w:val="true"/>
          <w:spacing w:val="-5"/>
          <w:w w:val="100"/>
        </w:rPr>
        <w:t>对于生物药物，在一种药理相关动物种属中进行评价通常已经足够。可通过器官</w:t>
      </w:r>
    </w:p>
    <w:p w:rsidR="005A76FB" w:rsidRDefault="005A76FB" w:rsidP="005A76FB">
      <w:pPr>
        <w:spacing w:before="0" w:after="0" w:lineRule="exact" w:line="218"/>
        <w:ind w:firstLine="1896" w:left="-1354"/>
        <w:rPr/>
      </w:pPr>
    </w:p>
    <w:p w:rsidR="005A76FB" w:rsidRDefault="005A76FB" w:rsidP="005A76FB">
      <w:pPr>
        <w:spacing w:before="0" w:after="0" w:line="265" w:lineRule="exact"/>
        <w:ind w:firstLine="1416" w:left="-1354"/>
        <w:jc w:val="left"/>
        <w:rPr/>
      </w:pPr>
      <w:r>
        <w:rPr>
          <w:rFonts w:ascii="宋体" w:eastAsia="宋体" w:hAnsi="宋体" w:cs="宋体"/>
          <w:u w:val="none"/>
          <w:sz w:val="24"/>
          <w:position w:val="0"/>
          <w:color w:val="000000"/>
          <w:noProof w:val="true"/>
          <w:spacing w:val="-5"/>
          <w:w w:val="100"/>
        </w:rPr>
        <w:t>形成期的毒性评价或根据</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5"/>
          <w:w w:val="100"/>
        </w:rPr>
        <w:t> </w:t>
      </w:r>
      <w:r>
        <w:rPr>
          <w:rFonts w:ascii="Times New Roman" w:hAnsi="Times New Roman" w:cs="Times New Roman"/>
          <w:u w:val="none"/>
          <w:sz w:val="24"/>
          <w:position w:val="0"/>
          <w:color w:val="000000"/>
          <w:noProof w:val="true"/>
          <w:spacing w:val="-3"/>
          <w:w w:val="100"/>
        </w:rPr>
        <w:t>S6</w:t>
      </w:r>
      <w:r>
        <w:rPr>
          <w:rFonts w:ascii="宋体" w:hAnsi="宋体" w:cs="宋体"/>
          <w:u w:val="none"/>
          <w:sz w:val="24"/>
          <w:position w:val="0"/>
          <w:color w:val="000000"/>
          <w:noProof w:val="true"/>
          <w:spacing w:val="-6"/>
          <w:w w:val="100"/>
        </w:rPr>
        <w:t>所述的试验设计来进行该评估。若有科学依据，替代</w:t>
      </w:r>
    </w:p>
    <w:p w:rsidR="005A76FB" w:rsidRDefault="005A76FB" w:rsidP="005A76FB">
      <w:pPr>
        <w:spacing w:before="0" w:after="0" w:line="452" w:lineRule="exact"/>
        <w:ind w:firstLine="1416" w:left="-1354"/>
        <w:jc w:val="left"/>
        <w:rPr/>
      </w:pPr>
      <w:r>
        <w:rPr>
          <w:rFonts w:ascii="宋体" w:hAnsi="宋体" w:cs="宋体"/>
          <w:u w:val="none"/>
          <w:sz w:val="24"/>
          <w:position w:val="0"/>
          <w:color w:val="000000"/>
          <w:noProof w:val="true"/>
          <w:spacing w:val="-5"/>
          <w:w w:val="100"/>
        </w:rPr>
        <w:t>方法也可能是合适的。替代方法可能包括文献评估、胎盘转运评估、生物药物直接或</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间接作用，或其它因素。</w:t>
      </w:r>
    </w:p>
    <w:p w:rsidR="005A76FB" w:rsidRDefault="005A76FB" w:rsidP="005A76FB">
      <w:pPr>
        <w:spacing w:before="0" w:after="0" w:line="470" w:lineRule="exact"/>
        <w:ind w:firstLine="1896" w:left="-1354"/>
        <w:jc w:val="left"/>
        <w:rPr/>
      </w:pPr>
      <w:r>
        <w:rPr>
          <w:rFonts w:ascii="宋体" w:eastAsia="宋体" w:hAnsi="宋体" w:cs="宋体"/>
          <w:u w:val="none"/>
          <w:sz w:val="24"/>
          <w:position w:val="0"/>
          <w:color w:val="000000"/>
          <w:noProof w:val="true"/>
          <w:spacing w:val="-5"/>
          <w:w w:val="100"/>
        </w:rPr>
        <w:t>拟用于晚期肿瘤患者的药物临床试验或上市，不必进行生育力和早期胚胎发育毒</w:t>
      </w:r>
    </w:p>
    <w:p w:rsidR="005A76FB" w:rsidRDefault="005A76FB" w:rsidP="005A76FB">
      <w:pPr>
        <w:spacing w:before="0" w:after="0" w:line="466" w:lineRule="exact"/>
        <w:ind w:firstLine="1416" w:left="-1354"/>
        <w:jc w:val="left"/>
        <w:rPr/>
      </w:pPr>
      <w:r>
        <w:rPr>
          <w:rFonts w:ascii="宋体" w:hAnsi="宋体" w:cs="宋体"/>
          <w:u w:val="none"/>
          <w:sz w:val="24"/>
          <w:position w:val="0"/>
          <w:color w:val="000000"/>
          <w:noProof w:val="true"/>
          <w:spacing w:val="-5"/>
          <w:w w:val="100"/>
        </w:rPr>
        <w:t>性试验。一般毒理学试验中获得的药物对生殖器官的影响信息，应作为生育力损伤评</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估的基础。</w:t>
      </w:r>
    </w:p>
    <w:p w:rsidR="005A76FB" w:rsidRDefault="005A76FB" w:rsidP="005A76FB">
      <w:pPr>
        <w:spacing w:before="0" w:after="0" w:line="465" w:lineRule="exact"/>
        <w:ind w:firstLine="1896" w:left="-1354"/>
        <w:jc w:val="left"/>
        <w:rPr/>
      </w:pPr>
      <w:r>
        <w:rPr>
          <w:rFonts w:ascii="宋体" w:hAnsi="宋体" w:cs="宋体"/>
          <w:u w:val="none"/>
          <w:sz w:val="24"/>
          <w:position w:val="0"/>
          <w:color w:val="000000"/>
          <w:noProof w:val="true"/>
          <w:spacing w:val="-5"/>
          <w:w w:val="100"/>
        </w:rPr>
        <w:t>拟用于晚期癌症患者的药物临床试验或上市，通常不必进行围产期毒性试验。</w:t>
      </w:r>
    </w:p>
    <w:p w:rsidR="005A76FB" w:rsidRDefault="005A76FB" w:rsidP="005A76FB">
      <w:pPr>
        <w:spacing w:before="0" w:after="0" w:lineRule="exact" w:line="223"/>
        <w:ind w:firstLine="189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2.6</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遗传毒性</w:t>
      </w:r>
    </w:p>
    <w:p w:rsidR="005A76FB" w:rsidRDefault="005A76FB" w:rsidP="005A76FB">
      <w:pPr>
        <w:spacing w:before="0" w:after="0" w:line="447" w:lineRule="exact"/>
        <w:ind w:firstLine="1896" w:left="-1354"/>
        <w:jc w:val="left"/>
        <w:rPr/>
      </w:pPr>
      <w:r>
        <w:rPr>
          <w:rFonts w:ascii="宋体" w:eastAsia="宋体" w:hAnsi="宋体" w:cs="宋体"/>
          <w:u w:val="none"/>
          <w:sz w:val="24"/>
          <w:position w:val="0"/>
          <w:color w:val="000000"/>
          <w:noProof w:val="true"/>
          <w:spacing w:val="-5"/>
          <w:w w:val="100"/>
        </w:rPr>
        <w:t>对于拟用于治疗晚期肿瘤患者的药物，遗传毒性研究不是支持其进行临床试验所</w:t>
      </w:r>
    </w:p>
    <w:p w:rsidR="005A76FB" w:rsidRDefault="005A76FB" w:rsidP="005A76FB">
      <w:pPr>
        <w:spacing w:before="0" w:after="0" w:lineRule="exact" w:line="222"/>
        <w:ind w:firstLine="1896" w:left="-1354"/>
        <w:rPr/>
      </w:pPr>
    </w:p>
    <w:p w:rsidR="005A76FB" w:rsidRDefault="005A76FB" w:rsidP="005A76FB">
      <w:pPr>
        <w:spacing w:before="0" w:after="0" w:line="265" w:lineRule="exact"/>
        <w:ind w:firstLine="1416" w:left="-1354"/>
        <w:jc w:val="left"/>
        <w:rPr/>
      </w:pPr>
      <w:r>
        <w:rPr>
          <w:rFonts w:ascii="宋体" w:hAnsi="宋体" w:cs="宋体"/>
          <w:u w:val="none"/>
          <w:sz w:val="24"/>
          <w:position w:val="0"/>
          <w:color w:val="000000"/>
          <w:noProof w:val="true"/>
          <w:spacing w:val="-5"/>
          <w:w w:val="100"/>
        </w:rPr>
        <w:t>必需的。为了支持上市（见</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5"/>
          <w:w w:val="100"/>
        </w:rPr>
        <w:t> </w:t>
      </w:r>
      <w:r>
        <w:rPr>
          <w:rFonts w:ascii="Times New Roman" w:hAnsi="Times New Roman" w:cs="Times New Roman"/>
          <w:u w:val="none"/>
          <w:sz w:val="24"/>
          <w:position w:val="0"/>
          <w:color w:val="000000"/>
          <w:noProof w:val="true"/>
          <w:spacing w:val="-3"/>
          <w:w w:val="100"/>
        </w:rPr>
        <w:t>S2</w:t>
      </w:r>
      <w:r>
        <w:rPr>
          <w:rFonts w:ascii="宋体" w:hAnsi="宋体" w:cs="宋体"/>
          <w:u w:val="none"/>
          <w:sz w:val="24"/>
          <w:position w:val="0"/>
          <w:color w:val="000000"/>
          <w:noProof w:val="true"/>
          <w:spacing w:val="-6"/>
          <w:w w:val="100"/>
        </w:rPr>
        <w:t>）应进行遗传毒性试验。生物药物应遵循</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5"/>
          <w:w w:val="100"/>
        </w:rPr>
        <w:t> </w:t>
      </w:r>
      <w:r>
        <w:rPr>
          <w:rFonts w:ascii="Times New Roman" w:hAnsi="Times New Roman" w:cs="Times New Roman"/>
          <w:u w:val="none"/>
          <w:sz w:val="24"/>
          <w:position w:val="0"/>
          <w:color w:val="000000"/>
          <w:noProof w:val="true"/>
          <w:spacing w:val="-3"/>
          <w:w w:val="100"/>
        </w:rPr>
        <w:t>S6</w:t>
      </w:r>
      <w:r>
        <w:rPr>
          <w:rFonts w:ascii="宋体" w:eastAsia="宋体" w:hAnsi="宋体" w:cs="宋体"/>
          <w:u w:val="none"/>
          <w:sz w:val="24"/>
          <w:position w:val="0"/>
          <w:color w:val="000000"/>
          <w:noProof w:val="true"/>
          <w:spacing w:val="-5"/>
          <w:w w:val="100"/>
        </w:rPr>
        <w:t>中</w:t>
      </w:r>
    </w:p>
    <w:p w:rsidR="005A76FB" w:rsidRDefault="005A76FB" w:rsidP="005A76FB">
      <w:pPr>
        <w:spacing w:before="0" w:after="0" w:line="447" w:lineRule="exact"/>
        <w:ind w:firstLine="1416" w:left="-1354"/>
        <w:jc w:val="left"/>
        <w:rPr/>
      </w:pPr>
      <w:r>
        <w:rPr>
          <w:rFonts w:ascii="宋体" w:hAnsi="宋体" w:cs="宋体"/>
          <w:u w:val="none"/>
          <w:sz w:val="24"/>
          <w:position w:val="0"/>
          <w:color w:val="000000"/>
          <w:noProof w:val="true"/>
          <w:spacing w:val="-5"/>
          <w:w w:val="100"/>
        </w:rPr>
        <w:t>所述的原则。如果体外试验结果为阳性，体内试验可能不是必要的。</w:t>
      </w:r>
    </w:p>
    <w:p w:rsidR="005A76FB" w:rsidRDefault="005A76FB" w:rsidP="005A76FB">
      <w:pPr>
        <w:spacing w:before="0" w:after="0" w:lineRule="exact" w:line="223"/>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2.7</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致癌性</w:t>
      </w:r>
    </w:p>
    <w:p w:rsidR="005A76FB" w:rsidRDefault="005A76FB" w:rsidP="005A76FB">
      <w:pPr>
        <w:spacing w:before="0" w:after="0" w:line="465" w:lineRule="exact"/>
        <w:ind w:firstLine="1896" w:left="-1354"/>
        <w:jc w:val="left"/>
        <w:rPr/>
      </w:pPr>
      <w:r>
        <w:rPr>
          <w:rFonts w:ascii="宋体" w:eastAsia="宋体" w:hAnsi="宋体" w:cs="宋体"/>
          <w:u w:val="none"/>
          <w:sz w:val="24"/>
          <w:position w:val="0"/>
          <w:color w:val="000000"/>
          <w:noProof w:val="true"/>
          <w:spacing w:val="-5"/>
          <w:w w:val="100"/>
        </w:rPr>
        <w:t>抗肿瘤药物致癌性评价的适用性在</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5"/>
          <w:w w:val="100"/>
        </w:rPr>
        <w:t> </w:t>
      </w:r>
      <w:r>
        <w:rPr>
          <w:rFonts w:ascii="Times New Roman" w:hAnsi="Times New Roman" w:cs="Times New Roman"/>
          <w:u w:val="none"/>
          <w:sz w:val="24"/>
          <w:position w:val="0"/>
          <w:color w:val="000000"/>
          <w:noProof w:val="true"/>
          <w:spacing w:val="-5"/>
          <w:w w:val="100"/>
        </w:rPr>
        <w:t>S1A</w:t>
      </w:r>
      <w:r>
        <w:rPr>
          <w:rFonts w:ascii="宋体" w:hAnsi="宋体" w:cs="宋体"/>
          <w:u w:val="none"/>
          <w:sz w:val="24"/>
          <w:position w:val="0"/>
          <w:color w:val="000000"/>
          <w:noProof w:val="true"/>
          <w:spacing w:val="-5"/>
          <w:w w:val="100"/>
        </w:rPr>
        <w:t>指导原则中进行了描述。拟用于治疗晚</w:t>
      </w:r>
    </w:p>
    <w:p w:rsidR="005A76FB" w:rsidRDefault="005A76FB" w:rsidP="005A76FB">
      <w:pPr>
        <w:spacing w:before="0" w:after="0" w:line="452" w:lineRule="exact"/>
        <w:ind w:firstLine="1416" w:left="-1354"/>
        <w:jc w:val="left"/>
        <w:rPr/>
      </w:pPr>
      <w:r>
        <w:rPr>
          <w:rFonts w:ascii="宋体" w:hAnsi="宋体" w:cs="宋体"/>
          <w:u w:val="none"/>
          <w:sz w:val="24"/>
          <w:position w:val="0"/>
          <w:color w:val="000000"/>
          <w:noProof w:val="true"/>
          <w:spacing w:val="-5"/>
          <w:w w:val="100"/>
        </w:rPr>
        <w:t>期肿瘤患者的药物上市，致癌性试验通常不是必要的。</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2.8</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免疫毒性</w:t>
      </w:r>
    </w:p>
    <w:p w:rsidR="005A76FB" w:rsidRDefault="005A76FB" w:rsidP="005A76FB">
      <w:pPr>
        <w:spacing w:before="0" w:after="0" w:line="452" w:lineRule="exact"/>
        <w:ind w:firstLine="1896" w:left="-1354"/>
        <w:jc w:val="left"/>
        <w:rPr/>
      </w:pPr>
      <w:r>
        <w:rPr>
          <w:rFonts w:ascii="宋体" w:eastAsia="宋体" w:hAnsi="宋体" w:cs="宋体"/>
          <w:u w:val="none"/>
          <w:sz w:val="24"/>
          <w:position w:val="0"/>
          <w:color w:val="000000"/>
          <w:noProof w:val="true"/>
          <w:spacing w:val="-5"/>
          <w:w w:val="100"/>
        </w:rPr>
        <w:t>对于大多数抗肿瘤药物，认为在一般毒理学试验中的设计内容足以评价免疫毒性</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潜力和用于支持上市。对于免疫调节类药物，试验设计可能包括附加的终点指标（如</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流式细胞术的免疫表型分析）。</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2.9</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光安全性</w:t>
      </w:r>
    </w:p>
    <w:p w:rsidR="005A76FB" w:rsidRDefault="005A76FB" w:rsidP="005A76FB">
      <w:pPr>
        <w:spacing w:before="0" w:after="0" w:line="452" w:lineRule="exact"/>
        <w:ind w:firstLine="1776" w:left="-1354"/>
        <w:jc w:val="left"/>
        <w:rPr/>
      </w:pPr>
      <w:r>
        <w:rPr>
          <w:rFonts w:ascii="宋体" w:hAnsi="宋体" w:cs="宋体"/>
          <w:u w:val="none"/>
          <w:sz w:val="24"/>
          <w:position w:val="0"/>
          <w:color w:val="000000"/>
          <w:noProof w:val="true"/>
          <w:spacing w:val="-5"/>
          <w:w w:val="100"/>
        </w:rPr>
        <w:t>在Ⅰ期临床试验前，应根据药物的光化学特性及该化学分类的其他药物信息开展早</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期光毒性潜力评估。如果这些数据评估后提示有潜在风险，应对门诊患者的试验采取</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合适的保护措施。如果根据非临床数据或临床经验，无法充分评价其光安全性风险，</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416" w:left="-1354"/>
        <w:jc w:val="left"/>
        <w:rPr/>
      </w:pPr>
      <w:r>
        <w:rPr>
          <w:rFonts w:ascii="宋体" w:eastAsia="宋体" w:hAnsi="宋体" w:cs="宋体"/>
          <w:u w:val="none"/>
          <w:sz w:val="24"/>
          <w:position w:val="0"/>
          <w:color w:val="000000"/>
          <w:noProof w:val="true"/>
          <w:spacing w:val="-5"/>
          <w:w w:val="100"/>
        </w:rPr>
        <w:t>在上市前应提供符合</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5"/>
          <w:w w:val="100"/>
        </w:rPr>
        <w:t> </w:t>
      </w:r>
      <w:r>
        <w:rPr>
          <w:rFonts w:ascii="Times New Roman" w:hAnsi="Times New Roman" w:cs="Times New Roman"/>
          <w:u w:val="none"/>
          <w:sz w:val="24"/>
          <w:position w:val="0"/>
          <w:color w:val="000000"/>
          <w:noProof w:val="true"/>
          <w:spacing w:val="-5"/>
          <w:w w:val="100"/>
        </w:rPr>
        <w:t>M3</w:t>
      </w:r>
      <w:r>
        <w:rPr>
          <w:rFonts w:ascii="宋体" w:hAnsi="宋体" w:cs="宋体"/>
          <w:u w:val="none"/>
          <w:sz w:val="24"/>
          <w:position w:val="0"/>
          <w:color w:val="000000"/>
          <w:noProof w:val="true"/>
          <w:spacing w:val="-5"/>
          <w:w w:val="100"/>
        </w:rPr>
        <w:t>所述原则的光安全性评估。</w:t>
      </w:r>
    </w:p>
    <w:p w:rsidR="005A76FB" w:rsidRDefault="005A76FB" w:rsidP="005A76FB">
      <w:pPr>
        <w:spacing w:before="0" w:after="0" w:lineRule="exact" w:line="240"/>
        <w:ind w:firstLine="1416" w:left="-1354"/>
        <w:rPr/>
      </w:pPr>
    </w:p>
    <w:p w:rsidR="005A76FB" w:rsidRDefault="005A76FB" w:rsidP="005A76FB">
      <w:pPr>
        <w:spacing w:before="0" w:after="0" w:lineRule="exact" w:line="240"/>
        <w:ind w:firstLine="1416" w:left="-1354"/>
        <w:rPr/>
      </w:pPr>
    </w:p>
    <w:p w:rsidR="005A76FB" w:rsidRDefault="005A76FB" w:rsidP="005A76FB">
      <w:pPr>
        <w:spacing w:before="0" w:after="0" w:lineRule="exact" w:line="240"/>
        <w:ind w:firstLine="1416" w:left="-1354"/>
        <w:rPr/>
      </w:pPr>
    </w:p>
    <w:p w:rsidR="005A76FB" w:rsidRDefault="005A76FB" w:rsidP="005A76FB">
      <w:pPr>
        <w:spacing w:before="0" w:after="0" w:lineRule="exact" w:line="240"/>
        <w:ind w:firstLine="1416" w:left="-1354"/>
        <w:rPr/>
      </w:pPr>
    </w:p>
    <w:p w:rsidR="005A76FB" w:rsidRDefault="005A76FB" w:rsidP="005A76FB">
      <w:pPr>
        <w:sectPr w:rsidR="005A76FB" w:rsidSect="005A76FB">
          <w:type w:val="continuous"/>
          <w:pgSz w:w="11904" w:h="16839"/>
          <w:pgMar w:top="950" w:right="995" w:bottom="710" w:left="1355" w:header="0" w:footer="0" w:gutter="0"/>
        </w:sectPr>
        <w:spacing w:before="0" w:after="0" w:line="313" w:lineRule="exact"/>
        <w:ind w:firstLine="10398" w:left="-1354"/>
        <w:jc w:val="left"/>
        <w:rPr/>
      </w:pPr>
      <w:r>
        <w:rPr>
          <w:rFonts w:ascii="Times New Roman" w:hAnsi="Times New Roman" w:cs="Times New Roman"/>
          <w:u w:val="none"/>
          <w:sz w:val="18"/>
          <w:position w:val="0"/>
          <w:color w:val="000000"/>
          <w:noProof w:val="true"/>
          <w:spacing w:val="-3"/>
          <w:w w:val="100"/>
        </w:rPr>
        <w:t>7</w:t>
      </w:r>
    </w:p>
    <w:bookmarkStart w:id="8" w:name="8"/>
    <w:bookmarkEnd w:id="8"/>
    <w:tbl>
      <w:tblPr>
        <w:tblStyle w:val="a6"/>
        <w:tblpPr w:leftFromText="180" w:rightFromText="180" vertAnchor="page" horzAnchor="page" w:tblpX="66" w:tblpY="11837"/>
        <w:tblW w:w="0" w:type="auto"/>
        <w:tblLayout w:type="fixed"/>
        <w:tblLook w:val="04A0"/>
      </w:tblPr>
      <w:tblGrid>
        <w:gridCol w:w="4153"/>
        <w:gridCol w:w="5141"/>
      </w:tblGrid>
      <w:tr w:rsidR="00AD10A2" w:rsidTr="00CB73A4">
        <w:trPr>
          <w:trHeight w:hRule="exact" w:val="475"/>
        </w:trPr>
        <w:tc>
          <w:tcPr>
            <w:tcW w:w="415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0" w:lineRule="exact"/>
              <w:ind w:left="1599" w:right="-239"/>
              <w:rPr/>
            </w:pPr>
            <w:r>
              <w:rPr>
                <w:rFonts w:ascii="宋体" w:eastAsia="宋体" w:hAnsi="宋体" w:cs="宋体"/>
                <w:u w:val="none"/>
                <w:sz w:val="24"/>
                <w:position w:val="0"/>
                <w:color w:val="000000"/>
                <w:noProof w:val="true"/>
                <w:spacing w:val="-5"/>
                <w:w w:val="100"/>
              </w:rPr>
              <w:t>临床方案</w:t>
            </w:r>
          </w:p>
        </w:tc>
        <w:tc>
          <w:tcPr>
            <w:tcW w:w="51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34" w:lineRule="exact"/>
              <w:ind w:left="1272" w:right="-239"/>
              <w:rPr/>
            </w:pPr>
            <w:r>
              <w:rPr>
                <w:rFonts w:ascii="宋体" w:eastAsia="宋体" w:hAnsi="宋体" w:cs="宋体"/>
                <w:u w:val="none"/>
                <w:sz w:val="24"/>
                <w:position w:val="-2.61462402"/>
                <w:color w:val="000000"/>
                <w:noProof w:val="true"/>
                <w:spacing w:val="-5"/>
                <w:w w:val="100"/>
              </w:rPr>
              <w:t>非临床给药方案示例</w:t>
            </w:r>
            <w:r>
              <w:rPr>
                <w:rFonts w:ascii="Times New Roman" w:hAnsi="Times New Roman" w:cs="Times New Roman"/>
                <w:b/>
                <w:u w:val="none"/>
                <w:sz w:val="16"/>
                <w:position w:val="6.45800781"/>
                <w:color w:val="000000"/>
                <w:w w:val="95"/>
                <w:noProof w:val="true"/>
                <w:spacing w:val="-2"/>
              </w:rPr>
              <w:t>1,2,3,4</w:t>
            </w:r>
          </w:p>
        </w:tc>
      </w:tr>
      <w:tr w:rsidR="00AD10A2" w:rsidTr="00CB73A4">
        <w:trPr>
          <w:trHeight w:hRule="exact" w:val="479"/>
        </w:trPr>
        <w:tc>
          <w:tcPr>
            <w:tcW w:w="415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1498" w:right="-239"/>
              <w:rPr/>
            </w:pPr>
            <w:r>
              <w:rPr>
                <w:rFonts w:ascii="宋体" w:eastAsia="宋体" w:hAnsi="宋体" w:cs="宋体"/>
                <w:u w:val="none"/>
                <w:sz w:val="24"/>
                <w:position w:val="0"/>
                <w:color w:val="000000"/>
                <w:noProof w:val="true"/>
                <w:spacing w:val="-5"/>
                <w:w w:val="100"/>
              </w:rPr>
              <w:t>每</w:t>
            </w:r>
            <w:r>
              <w:rPr>
                <w:rFonts w:ascii="Times New Roman" w:hAnsi="Times New Roman" w:cs="Times New Roman"/>
                <w:u w:val="none"/>
                <w:sz w:val="24"/>
                <w:position w:val="0"/>
                <w:color w:val="000000"/>
                <w:noProof w:val="true"/>
                <w:spacing w:val="-2"/>
                <w:w w:val="100"/>
              </w:rPr>
              <w:t>3-4</w:t>
            </w:r>
            <w:r>
              <w:rPr>
                <w:rFonts w:ascii="宋体" w:eastAsia="宋体" w:hAnsi="宋体" w:cs="宋体"/>
                <w:u w:val="none"/>
                <w:sz w:val="24"/>
                <w:position w:val="0"/>
                <w:color w:val="000000"/>
                <w:noProof w:val="true"/>
                <w:spacing w:val="-5"/>
                <w:w w:val="100"/>
              </w:rPr>
              <w:t>周</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w:t>
            </w:r>
          </w:p>
        </w:tc>
        <w:tc>
          <w:tcPr>
            <w:tcW w:w="51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0" w:lineRule="exact"/>
              <w:ind w:left="2093" w:right="-239"/>
              <w:rPr/>
            </w:pPr>
            <w:r>
              <w:rPr>
                <w:rFonts w:ascii="宋体" w:eastAsia="宋体" w:hAnsi="宋体" w:cs="宋体"/>
                <w:u w:val="none"/>
                <w:sz w:val="24"/>
                <w:position w:val="0"/>
                <w:color w:val="000000"/>
                <w:noProof w:val="true"/>
                <w:spacing w:val="-5"/>
                <w:w w:val="100"/>
              </w:rPr>
              <w:t>单次给药</w:t>
            </w:r>
          </w:p>
        </w:tc>
      </w:tr>
      <w:tr w:rsidR="00AD10A2" w:rsidTr="00CB73A4">
        <w:trPr>
          <w:trHeight w:hRule="exact" w:val="480"/>
        </w:trPr>
        <w:tc>
          <w:tcPr>
            <w:tcW w:w="415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278" w:right="-239"/>
              <w:rPr/>
            </w:pPr>
            <w:r>
              <w:rPr>
                <w:rFonts w:ascii="宋体" w:eastAsia="宋体" w:hAnsi="宋体" w:cs="宋体"/>
                <w:u w:val="none"/>
                <w:sz w:val="24"/>
                <w:position w:val="0"/>
                <w:color w:val="000000"/>
                <w:noProof w:val="true"/>
                <w:spacing w:val="-5"/>
                <w:w w:val="100"/>
              </w:rPr>
              <w:t>每天</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次，连续</w:t>
            </w:r>
            <w:r>
              <w:rPr>
                <w:rFonts w:ascii="Times New Roman" w:hAnsi="Times New Roman" w:cs="Times New Roman"/>
                <w:u w:val="none"/>
                <w:sz w:val="24"/>
                <w:position w:val="0"/>
                <w:color w:val="000000"/>
                <w:noProof w:val="true"/>
                <w:spacing w:val="-3"/>
                <w:w w:val="100"/>
              </w:rPr>
              <w:t>5</w:t>
            </w:r>
            <w:r>
              <w:rPr>
                <w:rFonts w:ascii="宋体" w:eastAsia="宋体" w:hAnsi="宋体" w:cs="宋体"/>
                <w:u w:val="none"/>
                <w:sz w:val="24"/>
                <w:position w:val="0"/>
                <w:color w:val="000000"/>
                <w:noProof w:val="true"/>
                <w:spacing w:val="-5"/>
                <w:w w:val="100"/>
              </w:rPr>
              <w:t>天，每</w:t>
            </w: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0"/>
                <w:color w:val="000000"/>
                <w:noProof w:val="true"/>
                <w:spacing w:val="-5"/>
                <w:w w:val="100"/>
              </w:rPr>
              <w:t>周重复</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w:t>
            </w:r>
          </w:p>
        </w:tc>
        <w:tc>
          <w:tcPr>
            <w:tcW w:w="51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1613" w:right="-239"/>
              <w:rPr/>
            </w:pPr>
            <w:r>
              <w:rPr>
                <w:rFonts w:ascii="宋体" w:eastAsia="宋体" w:hAnsi="宋体" w:cs="宋体"/>
                <w:u w:val="none"/>
                <w:sz w:val="24"/>
                <w:position w:val="0"/>
                <w:color w:val="000000"/>
                <w:noProof w:val="true"/>
                <w:spacing w:val="-5"/>
                <w:w w:val="100"/>
              </w:rPr>
              <w:t>每天</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次，连续</w:t>
            </w:r>
            <w:r>
              <w:rPr>
                <w:rFonts w:ascii="Times New Roman" w:hAnsi="Times New Roman" w:cs="Times New Roman"/>
                <w:u w:val="none"/>
                <w:sz w:val="24"/>
                <w:position w:val="0"/>
                <w:color w:val="000000"/>
                <w:noProof w:val="true"/>
                <w:spacing w:val="-3"/>
                <w:w w:val="100"/>
              </w:rPr>
              <w:t>5</w:t>
            </w:r>
            <w:r>
              <w:rPr>
                <w:rFonts w:ascii="宋体" w:eastAsia="宋体" w:hAnsi="宋体" w:cs="宋体"/>
                <w:u w:val="none"/>
                <w:sz w:val="24"/>
                <w:position w:val="0"/>
                <w:color w:val="000000"/>
                <w:noProof w:val="true"/>
                <w:spacing w:val="-5"/>
                <w:w w:val="100"/>
              </w:rPr>
              <w:t>天</w:t>
            </w:r>
          </w:p>
        </w:tc>
      </w:tr>
      <w:tr w:rsidR="00AD10A2" w:rsidTr="00CB73A4">
        <w:trPr>
          <w:trHeight w:hRule="exact" w:val="944"/>
        </w:trPr>
        <w:tc>
          <w:tcPr>
            <w:tcW w:w="415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235" w:right="-239"/>
              <w:rPr/>
            </w:pPr>
            <w:r>
              <w:rPr>
                <w:rFonts w:ascii="宋体" w:eastAsia="宋体" w:hAnsi="宋体" w:cs="宋体"/>
                <w:u w:val="none"/>
                <w:sz w:val="24"/>
                <w:position w:val="0"/>
                <w:color w:val="000000"/>
                <w:noProof w:val="true"/>
                <w:spacing w:val="-5"/>
                <w:w w:val="100"/>
              </w:rPr>
              <w:t>每天</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次，连续</w:t>
            </w:r>
            <w:r>
              <w:rPr>
                <w:rFonts w:ascii="Times New Roman" w:hAnsi="Times New Roman" w:cs="Times New Roman"/>
                <w:u w:val="none"/>
                <w:sz w:val="24"/>
                <w:position w:val="0"/>
                <w:color w:val="000000"/>
                <w:noProof w:val="true"/>
                <w:spacing w:val="-2"/>
                <w:w w:val="100"/>
              </w:rPr>
              <w:t>5-7</w:t>
            </w:r>
            <w:r>
              <w:rPr>
                <w:rFonts w:ascii="宋体" w:eastAsia="宋体" w:hAnsi="宋体" w:cs="宋体"/>
                <w:u w:val="none"/>
                <w:sz w:val="24"/>
                <w:position w:val="0"/>
                <w:color w:val="000000"/>
                <w:noProof w:val="true"/>
                <w:spacing w:val="-5"/>
                <w:w w:val="100"/>
              </w:rPr>
              <w:t>天，隔周重复</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w:t>
            </w:r>
          </w:p>
        </w:tc>
        <w:tc>
          <w:tcPr>
            <w:tcW w:w="51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254" w:right="-239"/>
              <w:rPr/>
            </w:pPr>
            <w:r>
              <w:rPr>
                <w:rFonts w:ascii="宋体" w:eastAsia="宋体" w:hAnsi="宋体" w:cs="宋体"/>
                <w:u w:val="none"/>
                <w:sz w:val="24"/>
                <w:position w:val="0"/>
                <w:color w:val="000000"/>
                <w:noProof w:val="true"/>
                <w:spacing w:val="-5"/>
                <w:w w:val="100"/>
              </w:rPr>
              <w:t>每天</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次，连续</w:t>
            </w:r>
            <w:r>
              <w:rPr>
                <w:rFonts w:ascii="Times New Roman" w:hAnsi="Times New Roman" w:cs="Times New Roman"/>
                <w:u w:val="none"/>
                <w:sz w:val="24"/>
                <w:position w:val="0"/>
                <w:color w:val="000000"/>
                <w:noProof w:val="true"/>
                <w:spacing w:val="-2"/>
                <w:w w:val="100"/>
              </w:rPr>
              <w:t>5-7</w:t>
            </w:r>
            <w:r>
              <w:rPr>
                <w:rFonts w:ascii="宋体" w:eastAsia="宋体" w:hAnsi="宋体" w:cs="宋体"/>
                <w:u w:val="none"/>
                <w:sz w:val="24"/>
                <w:position w:val="0"/>
                <w:color w:val="000000"/>
                <w:noProof w:val="true"/>
                <w:spacing w:val="-5"/>
                <w:w w:val="100"/>
              </w:rPr>
              <w:t>天，隔周进行（</w:t>
            </w:r>
            <w:r>
              <w:rPr>
                <w:rFonts w:ascii="Times New Roman" w:hAnsi="Times New Roman" w:cs="Times New Roman"/>
                <w:u w:val="none"/>
                <w:sz w:val="24"/>
                <w:position w:val="0"/>
                <w:color w:val="000000"/>
                <w:noProof w:val="true"/>
                <w:spacing w:val="-3"/>
                <w:w w:val="100"/>
              </w:rPr>
              <w:t>2</w:t>
            </w:r>
            <w:r>
              <w:rPr>
                <w:rFonts w:ascii="宋体" w:eastAsia="宋体" w:hAnsi="宋体" w:cs="宋体"/>
                <w:u w:val="none"/>
                <w:sz w:val="24"/>
                <w:position w:val="0"/>
                <w:color w:val="000000"/>
                <w:noProof w:val="true"/>
                <w:spacing w:val="-5"/>
                <w:w w:val="100"/>
              </w:rPr>
              <w:t>个给药周</w:t>
            </w:r>
          </w:p>
          <w:p w:rsidR="005A76FB" w:rsidRDefault="005A76FB" w:rsidP="005A76FB">
            <w:pPr>
              <w:spacing w:before="0" w:after="0" w:line="447" w:lineRule="exact"/>
              <w:ind w:left="2333" w:right="-239"/>
              <w:rPr/>
            </w:pPr>
            <w:r>
              <w:rPr>
                <w:rFonts w:ascii="宋体" w:eastAsia="宋体" w:hAnsi="宋体" w:cs="宋体"/>
                <w:u w:val="none"/>
                <w:sz w:val="24"/>
                <w:position w:val="0"/>
                <w:color w:val="000000"/>
                <w:noProof w:val="true"/>
                <w:spacing w:val="-5"/>
                <w:w w:val="100"/>
              </w:rPr>
              <w:t>期）</w:t>
            </w:r>
          </w:p>
        </w:tc>
      </w:tr>
    </w:tbl>
    <w:p w:rsidR="005A76FB" w:rsidRDefault="005A76FB" w:rsidP="005A76FB">
      <w:pPr>
        <w:spacing w:before="0" w:after="0" w:lineRule="exact" w:line="247"/>
        <w:ind/>
        <w:rPr/>
      </w:pPr>
    </w:p>
    <w:p w:rsidR="005A76FB" w:rsidRDefault="005A76FB" w:rsidP="005A76FB">
      <w:pPr>
        <w:widowControl/>
        <w:jc w:val="left"/>
        <w:rPr/>
        <w:sectPr w:rsidR="005A76FB" w:rsidSect="005A76FB">
          <w:type w:val="continuous"/>
          <w:pgSz w:w="11904" w:h="16838"/>
          <w:pgMar w:top="950" w:right="995" w:bottom="710" w:left="1355" w:header="0" w:footer="0" w:gutter="0"/>
          <w:docGrid w:type="lines" w:linePitch="312"/>
        </w:sectPr>
      </w:pPr>
    </w:p>
    <w:p w:rsidR="005A76FB" w:rsidRDefault="005A76FB" w:rsidP="005A76FB">
      <w:pPr>
        <w:spacing w:before="0" w:after="0" w:line="265" w:lineRule="exact"/>
        <w:ind w:left="61" w:firstLine="0"/>
        <w:jc w:val="left"/>
        <w:rPr/>
      </w:pPr>
      <w:r>
        <w:rPr>
          <w:rFonts w:ascii="Times New Roman" w:hAnsi="Times New Roman" w:cs="Times New Roman"/>
          <w:b/>
          <w:u w:val="none"/>
          <w:sz w:val="24"/>
          <w:position w:val="0"/>
          <w:color w:val="000000"/>
          <w:w w:val="95"/>
          <w:noProof w:val="true"/>
          <w:spacing w:val="-2"/>
        </w:rPr>
        <w:t>3.</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95"/>
          <w:noProof w:val="true"/>
          <w:spacing w:val="-5"/>
        </w:rPr>
        <w:t>支持临床试验设计和上市的非临床数据</w:t>
      </w:r>
    </w:p>
    <w:p w:rsidR="005A76FB" w:rsidRDefault="005A76FB" w:rsidP="005A76FB">
      <w:pPr>
        <w:spacing w:before="0" w:after="0" w:line="470" w:lineRule="exact"/>
        <w:ind w:firstLine="0" w:left="61"/>
        <w:jc w:val="left"/>
        <w:rPr/>
      </w:pPr>
      <w:r>
        <w:rPr>
          <w:rFonts w:ascii="Times New Roman" w:hAnsi="Times New Roman" w:cs="Times New Roman"/>
          <w:b/>
          <w:u w:val="none"/>
          <w:sz w:val="24"/>
          <w:position w:val="0"/>
          <w:color w:val="000000"/>
          <w:w w:val="95"/>
          <w:noProof w:val="true"/>
          <w:spacing w:val="-2"/>
        </w:rPr>
        <w:t>3.1</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人体首次用药的起始剂量</w:t>
      </w:r>
    </w:p>
    <w:p w:rsidR="005A76FB" w:rsidRDefault="005A76FB" w:rsidP="005A76FB">
      <w:pPr>
        <w:spacing w:before="0" w:after="0" w:line="447" w:lineRule="exact"/>
        <w:ind w:firstLine="480" w:left="61"/>
        <w:jc w:val="left"/>
        <w:rPr/>
      </w:pPr>
      <w:r>
        <w:rPr>
          <w:rFonts w:ascii="宋体" w:hAnsi="宋体" w:cs="宋体"/>
          <w:u w:val="none"/>
          <w:sz w:val="24"/>
          <w:position w:val="0"/>
          <w:color w:val="000000"/>
          <w:noProof w:val="true"/>
          <w:spacing w:val="-5"/>
          <w:w w:val="100"/>
        </w:rPr>
        <w:t>选择起始剂量的目标是确定预期出现药理作用且有合理安全性的剂量。起始剂量</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应采用所有已有的非临床数据（例如药代动力学、药效学和毒性）进行科学论证，并</w:t>
      </w:r>
    </w:p>
    <w:p w:rsidR="005A76FB" w:rsidRDefault="005A76FB" w:rsidP="005A76FB">
      <w:pPr>
        <w:spacing w:before="0" w:after="0" w:lineRule="exact" w:line="218"/>
        <w:ind w:firstLine="0" w:left="61"/>
        <w:rPr/>
      </w:pPr>
    </w:p>
    <w:p w:rsidR="005A76FB" w:rsidRDefault="005A76FB" w:rsidP="005A76FB">
      <w:pPr>
        <w:spacing w:before="0" w:after="0" w:line="265" w:lineRule="exact"/>
        <w:ind w:firstLine="0" w:left="61"/>
        <w:jc w:val="left"/>
        <w:rPr/>
      </w:pPr>
      <w:r>
        <w:rPr>
          <w:rFonts w:ascii="宋体" w:eastAsia="宋体" w:hAnsi="宋体" w:cs="宋体"/>
          <w:u w:val="none"/>
          <w:sz w:val="24"/>
          <w:position w:val="0"/>
          <w:color w:val="000000"/>
          <w:noProof w:val="true"/>
          <w:spacing w:val="-5"/>
          <w:w w:val="100"/>
        </w:rPr>
        <w:t>且基于多种方法进行选择（注释</w:t>
      </w:r>
      <w:r>
        <w:rPr>
          <w:rFonts w:ascii="Times New Roman" w:hAnsi="Times New Roman" w:cs="Times New Roman"/>
          <w:u w:val="none"/>
          <w:sz w:val="24"/>
          <w:position w:val="0"/>
          <w:color w:val="000000"/>
          <w:noProof w:val="true"/>
          <w:spacing w:val="-3"/>
          <w:w w:val="100"/>
        </w:rPr>
        <w:t>2</w:t>
      </w:r>
      <w:r>
        <w:rPr>
          <w:rFonts w:ascii="宋体" w:hAnsi="宋体" w:cs="宋体"/>
          <w:u w:val="none"/>
          <w:sz w:val="24"/>
          <w:position w:val="0"/>
          <w:color w:val="000000"/>
          <w:noProof w:val="true"/>
          <w:spacing w:val="-5"/>
          <w:w w:val="100"/>
        </w:rPr>
        <w:t>）。对于大多数全身给药的小分子药物来说，动物剂</w:t>
      </w:r>
    </w:p>
    <w:p w:rsidR="005A76FB" w:rsidRDefault="005A76FB" w:rsidP="005A76FB">
      <w:pPr>
        <w:spacing w:before="0" w:after="0" w:line="452" w:lineRule="exact"/>
        <w:ind w:firstLine="0" w:left="61"/>
        <w:jc w:val="left"/>
        <w:rPr/>
      </w:pPr>
      <w:r>
        <w:rPr>
          <w:rFonts w:ascii="宋体" w:hAnsi="宋体" w:cs="宋体"/>
          <w:u w:val="none"/>
          <w:sz w:val="24"/>
          <w:position w:val="0"/>
          <w:color w:val="000000"/>
          <w:noProof w:val="true"/>
          <w:spacing w:val="-5"/>
          <w:w w:val="100"/>
        </w:rPr>
        <w:t>量与人体等效剂量的种属间换算通常应基于人体表面积标准化方法。对于小分子和生</w:t>
      </w:r>
    </w:p>
    <w:p w:rsidR="005A76FB" w:rsidRDefault="005A76FB" w:rsidP="005A76FB">
      <w:pPr>
        <w:spacing w:before="0" w:after="0" w:lineRule="exact" w:line="218"/>
        <w:ind w:firstLine="0" w:left="61"/>
        <w:rPr/>
      </w:pPr>
    </w:p>
    <w:p w:rsidR="005A76FB" w:rsidRDefault="005A76FB" w:rsidP="005A76FB">
      <w:pPr>
        <w:spacing w:before="0" w:after="0" w:line="265" w:lineRule="exact"/>
        <w:ind w:firstLine="0" w:left="61"/>
        <w:jc w:val="left"/>
        <w:rPr/>
      </w:pPr>
      <w:r>
        <w:rPr>
          <w:rFonts w:ascii="宋体" w:hAnsi="宋体" w:cs="宋体"/>
          <w:u w:val="none"/>
          <w:sz w:val="24"/>
          <w:position w:val="0"/>
          <w:color w:val="000000"/>
          <w:noProof w:val="true"/>
          <w:spacing w:val="-5"/>
          <w:w w:val="100"/>
        </w:rPr>
        <w:t>物药物，根据体重、</w:t>
      </w:r>
      <w:r>
        <w:rPr>
          <w:rFonts w:ascii="Times New Roman" w:hAnsi="Times New Roman" w:cs="Times New Roman"/>
          <w:u w:val="none"/>
          <w:sz w:val="24"/>
          <w:position w:val="0"/>
          <w:color w:val="000000"/>
          <w:noProof w:val="true"/>
          <w:spacing w:val="-6"/>
          <w:w w:val="100"/>
        </w:rPr>
        <w:t>AUC</w:t>
      </w:r>
      <w:r>
        <w:rPr>
          <w:rFonts w:ascii="宋体" w:hAnsi="宋体" w:cs="宋体"/>
          <w:u w:val="none"/>
          <w:sz w:val="24"/>
          <w:position w:val="0"/>
          <w:color w:val="000000"/>
          <w:noProof w:val="true"/>
          <w:spacing w:val="-5"/>
          <w:w w:val="100"/>
        </w:rPr>
        <w:t>或其它暴露参数来进行种属间换算也是可行的。</w:t>
      </w:r>
    </w:p>
    <w:p w:rsidR="005A76FB" w:rsidRDefault="005A76FB" w:rsidP="005A76FB">
      <w:pPr>
        <w:spacing w:before="0" w:after="0" w:line="452" w:lineRule="exact"/>
        <w:ind w:firstLine="480" w:left="61"/>
        <w:jc w:val="left"/>
        <w:rPr/>
      </w:pPr>
      <w:r>
        <w:rPr>
          <w:rFonts w:ascii="宋体" w:eastAsia="宋体" w:hAnsi="宋体" w:cs="宋体"/>
          <w:u w:val="none"/>
          <w:sz w:val="24"/>
          <w:position w:val="0"/>
          <w:color w:val="000000"/>
          <w:noProof w:val="true"/>
          <w:spacing w:val="-5"/>
          <w:w w:val="100"/>
        </w:rPr>
        <w:t>对于具有免疫激动剂特性的生物药物，起始剂量的选择应考虑采用最低预期生物</w:t>
      </w:r>
    </w:p>
    <w:p w:rsidR="005A76FB" w:rsidRDefault="005A76FB" w:rsidP="005A76FB">
      <w:pPr>
        <w:spacing w:before="0" w:after="0" w:lineRule="exact" w:line="218"/>
        <w:ind w:firstLine="480" w:left="61"/>
        <w:rPr/>
      </w:pPr>
    </w:p>
    <w:p w:rsidR="005A76FB" w:rsidRDefault="005A76FB" w:rsidP="005A76FB">
      <w:pPr>
        <w:spacing w:before="0" w:after="0" w:line="265" w:lineRule="exact"/>
        <w:ind w:firstLine="0" w:left="61"/>
        <w:jc w:val="left"/>
        <w:rPr/>
      </w:pPr>
      <w:r>
        <w:rPr>
          <w:rFonts w:ascii="宋体" w:eastAsia="宋体" w:hAnsi="宋体" w:cs="宋体"/>
          <w:u w:val="none"/>
          <w:sz w:val="24"/>
          <w:position w:val="0"/>
          <w:color w:val="000000"/>
          <w:noProof w:val="true"/>
          <w:spacing w:val="-5"/>
          <w:w w:val="100"/>
        </w:rPr>
        <w:t>效应水平（</w:t>
      </w:r>
      <w:r>
        <w:rPr>
          <w:rFonts w:ascii="Times New Roman" w:hAnsi="Times New Roman" w:cs="Times New Roman"/>
          <w:u w:val="none"/>
          <w:sz w:val="24"/>
          <w:position w:val="0"/>
          <w:color w:val="000000"/>
          <w:noProof w:val="true"/>
          <w:spacing w:val="-5"/>
          <w:w w:val="100"/>
        </w:rPr>
        <w:t>MABEL</w:t>
      </w:r>
      <w:r>
        <w:rPr>
          <w:rFonts w:ascii="宋体" w:hAnsi="宋体" w:cs="宋体"/>
          <w:u w:val="none"/>
          <w:sz w:val="24"/>
          <w:position w:val="0"/>
          <w:color w:val="000000"/>
          <w:noProof w:val="true"/>
          <w:spacing w:val="-5"/>
          <w:w w:val="100"/>
        </w:rPr>
        <w:t>）。</w:t>
      </w:r>
    </w:p>
    <w:p w:rsidR="005A76FB" w:rsidRDefault="005A76FB" w:rsidP="005A76FB">
      <w:pPr>
        <w:spacing w:before="0" w:after="0" w:line="470" w:lineRule="exact"/>
        <w:ind w:firstLine="0" w:left="61"/>
        <w:jc w:val="left"/>
        <w:rPr/>
      </w:pPr>
      <w:r>
        <w:rPr>
          <w:rFonts w:ascii="Times New Roman" w:hAnsi="Times New Roman" w:cs="Times New Roman"/>
          <w:b/>
          <w:u w:val="none"/>
          <w:sz w:val="24"/>
          <w:position w:val="0"/>
          <w:color w:val="000000"/>
          <w:w w:val="95"/>
          <w:noProof w:val="true"/>
          <w:spacing w:val="-2"/>
        </w:rPr>
        <w:t>3.2</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临床试验中的剂量递增和最高剂量</w:t>
      </w:r>
    </w:p>
    <w:p w:rsidR="005A76FB" w:rsidRDefault="005A76FB" w:rsidP="005A76FB">
      <w:pPr>
        <w:spacing w:before="0" w:after="0" w:line="448" w:lineRule="exact"/>
        <w:ind w:firstLine="480" w:left="61"/>
        <w:jc w:val="left"/>
        <w:rPr/>
      </w:pPr>
      <w:r>
        <w:rPr>
          <w:rFonts w:ascii="宋体" w:eastAsia="宋体" w:hAnsi="宋体" w:cs="宋体"/>
          <w:u w:val="none"/>
          <w:sz w:val="24"/>
          <w:position w:val="0"/>
          <w:color w:val="000000"/>
          <w:noProof w:val="true"/>
          <w:spacing w:val="-5"/>
          <w:w w:val="100"/>
        </w:rPr>
        <w:t>一般来说，肿瘤患者临床试验中研究的剂量递增或最高剂量不应受到非临床研究</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中最高剂量或暴露量的限制。当在非临床毒理学研究中观察到严重毒性具有陡峭的剂</w:t>
      </w:r>
    </w:p>
    <w:p w:rsidR="005A76FB" w:rsidRDefault="005A76FB" w:rsidP="005A76FB">
      <w:pPr>
        <w:spacing w:before="0" w:after="0" w:lineRule="exact" w:line="218"/>
        <w:ind w:firstLine="0" w:left="61"/>
        <w:rPr/>
      </w:pPr>
    </w:p>
    <w:p w:rsidR="005A76FB" w:rsidRDefault="005A76FB" w:rsidP="005A76FB">
      <w:pPr>
        <w:spacing w:before="0" w:after="0" w:line="265" w:lineRule="exact"/>
        <w:ind w:firstLine="0" w:left="61"/>
        <w:jc w:val="left"/>
        <w:rPr/>
      </w:pPr>
      <w:r>
        <w:rPr>
          <w:rFonts w:ascii="宋体" w:eastAsia="宋体" w:hAnsi="宋体" w:cs="宋体"/>
          <w:u w:val="none"/>
          <w:sz w:val="24"/>
          <w:position w:val="0"/>
          <w:color w:val="000000"/>
          <w:noProof w:val="true"/>
          <w:spacing w:val="-5"/>
          <w:w w:val="100"/>
        </w:rPr>
        <w:t>量</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反应或暴露量</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反应曲线时，或者当严重毒性缺乏预警信号时，应当考虑比常规剂量</w:t>
      </w:r>
    </w:p>
    <w:p w:rsidR="005A76FB" w:rsidRDefault="005A76FB" w:rsidP="005A76FB">
      <w:pPr>
        <w:spacing w:before="0" w:after="0" w:line="452" w:lineRule="exact"/>
        <w:ind w:firstLine="0" w:left="61"/>
        <w:jc w:val="left"/>
        <w:rPr/>
      </w:pPr>
      <w:r>
        <w:rPr>
          <w:rFonts w:ascii="宋体" w:hAnsi="宋体" w:cs="宋体"/>
          <w:u w:val="none"/>
          <w:sz w:val="24"/>
          <w:position w:val="0"/>
          <w:color w:val="000000"/>
          <w:noProof w:val="true"/>
          <w:spacing w:val="-5"/>
          <w:w w:val="100"/>
        </w:rPr>
        <w:t>递增更小的递增（分数倍数的递增，而不是成倍增加）。</w:t>
      </w:r>
    </w:p>
    <w:p w:rsidR="005A76FB" w:rsidRDefault="005A76FB" w:rsidP="005A76FB">
      <w:pPr>
        <w:spacing w:before="0" w:after="0" w:lineRule="exact" w:line="218"/>
        <w:ind w:firstLine="0" w:left="61"/>
        <w:rPr/>
      </w:pPr>
    </w:p>
    <w:p w:rsidR="005A76FB" w:rsidRDefault="005A76FB" w:rsidP="005A76FB">
      <w:pPr>
        <w:spacing w:before="0" w:after="0" w:line="265" w:lineRule="exact"/>
        <w:ind w:firstLine="0" w:left="61"/>
        <w:jc w:val="left"/>
        <w:rPr/>
      </w:pPr>
      <w:r>
        <w:rPr>
          <w:rFonts w:ascii="Times New Roman" w:hAnsi="Times New Roman" w:cs="Times New Roman"/>
          <w:b/>
          <w:u w:val="none"/>
          <w:sz w:val="24"/>
          <w:position w:val="0"/>
          <w:color w:val="000000"/>
          <w:w w:val="95"/>
          <w:noProof w:val="true"/>
          <w:spacing w:val="-2"/>
        </w:rPr>
        <w:t>3.3</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支持早期临床试验的毒理学研究期限和方案</w:t>
      </w:r>
    </w:p>
    <w:p w:rsidR="005A76FB" w:rsidRDefault="005A76FB" w:rsidP="005A76FB">
      <w:pPr>
        <w:spacing w:before="0" w:after="0" w:line="452" w:lineRule="exact"/>
        <w:ind w:firstLine="480" w:left="61"/>
        <w:jc w:val="left"/>
        <w:rPr/>
      </w:pPr>
      <w:r>
        <w:rPr>
          <w:rFonts w:ascii="宋体" w:hAnsi="宋体" w:cs="宋体"/>
          <w:u w:val="none"/>
          <w:sz w:val="24"/>
          <w:position w:val="0"/>
          <w:color w:val="000000"/>
          <w:noProof w:val="true"/>
          <w:spacing w:val="-5"/>
          <w:w w:val="100"/>
        </w:rPr>
        <w:t>在Ⅰ期临床试验中，可根据患者的反应继续进行治疗，在这种情况下，不需进行</w:t>
      </w:r>
    </w:p>
    <w:p w:rsidR="005A76FB" w:rsidRDefault="005A76FB" w:rsidP="005A76FB">
      <w:pPr>
        <w:spacing w:before="0" w:after="0" w:line="465" w:lineRule="exact"/>
        <w:ind w:firstLine="0" w:left="61"/>
        <w:jc w:val="left"/>
        <w:rPr/>
      </w:pPr>
      <w:r>
        <w:rPr>
          <w:rFonts w:ascii="宋体" w:hAnsi="宋体" w:cs="宋体"/>
          <w:u w:val="none"/>
          <w:sz w:val="24"/>
          <w:position w:val="0"/>
          <w:color w:val="000000"/>
          <w:noProof w:val="true"/>
          <w:spacing w:val="-5"/>
          <w:w w:val="100"/>
        </w:rPr>
        <w:t>比已完成的毒性试验给药期限更长的新的毒性试验来支持延长的临床治疗。</w:t>
      </w:r>
    </w:p>
    <w:p w:rsidR="005A76FB" w:rsidRDefault="005A76FB" w:rsidP="005A76FB">
      <w:pPr>
        <w:spacing w:before="0" w:after="0" w:line="470" w:lineRule="exact"/>
        <w:ind w:firstLine="480" w:left="61"/>
        <w:jc w:val="left"/>
        <w:rPr/>
      </w:pPr>
      <w:r>
        <w:rPr>
          <w:rFonts w:ascii="宋体" w:eastAsia="宋体" w:hAnsi="宋体" w:cs="宋体"/>
          <w:u w:val="none"/>
          <w:sz w:val="24"/>
          <w:position w:val="0"/>
          <w:color w:val="000000"/>
          <w:noProof w:val="true"/>
          <w:spacing w:val="-5"/>
          <w:w w:val="100"/>
        </w:rPr>
        <w:t>为了适应早期临床试验中可能使用不同的给药剂量方案，应当选择合适的非临床</w:t>
      </w:r>
    </w:p>
    <w:p w:rsidR="005A76FB" w:rsidRDefault="005A76FB" w:rsidP="005A76FB">
      <w:pPr>
        <w:spacing w:before="0" w:after="0" w:line="465" w:lineRule="exact"/>
        <w:ind w:firstLine="0" w:left="61"/>
        <w:jc w:val="left"/>
        <w:rPr/>
      </w:pPr>
      <w:r>
        <w:rPr>
          <w:rFonts w:ascii="宋体" w:hAnsi="宋体" w:cs="宋体"/>
          <w:u w:val="none"/>
          <w:sz w:val="24"/>
          <w:position w:val="0"/>
          <w:color w:val="000000"/>
          <w:noProof w:val="true"/>
          <w:spacing w:val="-5"/>
          <w:w w:val="100"/>
        </w:rPr>
        <w:t>研究设计。毒性研究并不总是完全遵循临床方案，但毒性研究信息应充分支持临床剂</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量、方案和确定潜在的毒性。例如，一种可考虑的因素是动物种属中的半衰期和预计</w:t>
      </w:r>
    </w:p>
    <w:p w:rsidR="005A76FB" w:rsidRDefault="005A76FB" w:rsidP="005A76FB">
      <w:pPr>
        <w:spacing w:before="0" w:after="0" w:line="466" w:lineRule="exact"/>
        <w:ind w:firstLine="0" w:left="61"/>
        <w:jc w:val="left"/>
        <w:rPr/>
      </w:pPr>
      <w:r>
        <w:rPr>
          <w:rFonts w:ascii="宋体" w:hAnsi="宋体" w:cs="宋体"/>
          <w:u w:val="none"/>
          <w:sz w:val="24"/>
          <w:position w:val="0"/>
          <w:color w:val="000000"/>
          <w:noProof w:val="true"/>
          <w:spacing w:val="-5"/>
          <w:w w:val="100"/>
        </w:rPr>
        <w:t>的（或已知的）人体中的半衰期。其它因素可包括暴露评估、毒性特性、受体饱和度</w:t>
      </w:r>
    </w:p>
    <w:p w:rsidR="005A76FB" w:rsidRDefault="005A76FB" w:rsidP="005A76FB">
      <w:pPr>
        <w:spacing w:before="0" w:after="0" w:lineRule="exact" w:line="222"/>
        <w:ind w:firstLine="0" w:left="61"/>
        <w:rPr/>
      </w:pPr>
    </w:p>
    <w:p w:rsidR="005A76FB" w:rsidRDefault="005A76FB" w:rsidP="005A76FB">
      <w:pPr>
        <w:spacing w:before="0" w:after="0" w:line="265" w:lineRule="exact"/>
        <w:ind w:firstLine="0" w:left="61"/>
        <w:jc w:val="left"/>
        <w:rPr/>
      </w:pPr>
      <w:r>
        <w:rPr>
          <w:rFonts w:ascii="宋体" w:hAnsi="宋体" w:cs="宋体"/>
          <w:u w:val="none"/>
          <w:sz w:val="24"/>
          <w:position w:val="0"/>
          <w:color w:val="000000"/>
          <w:noProof w:val="true"/>
          <w:spacing w:val="-5"/>
          <w:w w:val="100"/>
        </w:rPr>
        <w:t>等。表</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提供了抗肿瘤药物通常采用的非临床试验给药方案的实例，可应用于小分子药</w:t>
      </w:r>
    </w:p>
    <w:p w:rsidR="005A76FB" w:rsidRDefault="005A76FB" w:rsidP="005A76FB">
      <w:pPr>
        <w:spacing w:before="0" w:after="0" w:line="447" w:lineRule="exact"/>
        <w:ind w:firstLine="0" w:left="61"/>
        <w:jc w:val="left"/>
        <w:rPr/>
      </w:pPr>
      <w:r>
        <w:rPr>
          <w:rFonts w:ascii="宋体" w:hAnsi="宋体" w:cs="宋体"/>
          <w:u w:val="none"/>
          <w:sz w:val="24"/>
          <w:position w:val="0"/>
          <w:color w:val="000000"/>
          <w:noProof w:val="true"/>
          <w:spacing w:val="-5"/>
          <w:w w:val="100"/>
        </w:rPr>
        <w:t>物或生物药物。当已有的毒性信息不能支持修改临床给药方案时，通常在单一动物种</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属中进行追加的毒理学试验是足够的。</w:t>
      </w:r>
    </w:p>
    <w:p w:rsidR="005A76FB" w:rsidRDefault="005A76FB" w:rsidP="005A76FB">
      <w:pPr>
        <w:spacing w:before="0" w:after="0" w:lineRule="exact" w:line="218"/>
        <w:ind w:firstLine="0" w:left="61"/>
        <w:rPr/>
      </w:pPr>
    </w:p>
    <w:p w:rsidR="005A76FB" w:rsidRDefault="005A76FB" w:rsidP="005A76FB">
      <w:pPr>
        <w:spacing w:before="0" w:after="0" w:line="265" w:lineRule="exact"/>
        <w:ind w:firstLine="1824" w:left="61"/>
        <w:jc w:val="left"/>
        <w:rPr/>
      </w:pPr>
    </w:p>
    <w:p w:rsidR="005A76FB" w:rsidRDefault="005A76FB" w:rsidP="005A76FB">
      <w:pPr>
        <w:widowControl/>
        <w:jc w:val="left"/>
        <w:rPr/>
        <w:sectPr w:rsidR="005A76FB" w:rsidSect="005A76FB">
          <w:type w:val="continuous"/>
          <w:pgSz w:w="11904" w:h="16838"/>
          <w:pgMar w:top="950" w:right="995" w:bottom="710" w:left="1355" w:header="0" w:footer="0" w:gutter="0"/>
          <w:cols w:num="1" w:equalWidth="0">
            <w:col w:w="9554" w:space="0"/>
          </w:cols>
          <w:docGrid w:type="lines" w:linePitch="312"/>
        </w:sectPr>
      </w:pPr>
    </w:p>
    <w:p w:rsidR="005A76FB" w:rsidRDefault="005A76FB" w:rsidP="005A76FB">
      <w:pPr>
        <w:spacing w:before="0" w:after="0" w:lineRule="exact" w:line="240"/>
        <w:ind w:firstLine="1824" w:left="61"/>
        <w:rPr/>
      </w:pPr>
    </w:p>
    <w:p w:rsidR="005A76FB" w:rsidRDefault="005A76FB" w:rsidP="005A76FB">
      <w:pPr>
        <w:spacing w:before="0" w:after="0" w:line="405" w:lineRule="exact"/>
        <w:ind w:firstLine="0" w:left="9043"/>
        <w:jc w:val="left"/>
        <w:rPr/>
      </w:pPr>
      <w:r>
        <w:rPr>
          <w:noProof/>
        </w:rPr>
        <w:pict>
          <v:shapetype id="_x0000_t202" coordsize="21600,21600" o:spt="202" path="m,l,21600r21600,l21600,xe">
            <v:stroke joinstyle="miter"/>
            <v:path gradientshapeok="t" o:connecttype="rect"/>
          </v:shapetype>
          <v:shape id="wondershare_138" type="#_x0000_t202" style="position:absolute;left:0;text-align:left;margin-left:162.016pt;margin-top:620.979pt;width:291.09082pt;height:18.2694702pt;z-index:-1;mso-position-horizontal-relative:page;mso-position-vertical-relative:page" filled="f" stroked="f">
            <v:textbox style="" inset="0,0,0,0">
              <w:txbxContent>
                <w:p w:rsidR="005A76FB" w:rsidRDefault="005A76FB">
                  <w:pPr>
                    <w:autoSpaceDE w:val="0"/>
                    <w:autoSpaceDN w:val="0"/>
                    <w:adjustRightInd w:val="0"/>
                    <w:spacing w:before="0" w:after="0" w:line="247" w:lineRule="exact"/>
                    <w:jc w:val="left"/>
                    <w:rPr/>
                  </w:pPr>
                  <w:r>
                    <w:rPr>
                      <w:rFonts w:ascii="宋体" w:eastAsia="宋体" w:hAnsi="宋体" w:cs="宋体"/>
                      <w:b/>
                      <w:u w:val="none"/>
                      <w:sz w:val="24"/>
                      <w:position w:val="0"/>
                      <w:color w:val="000000"/>
                      <w:w w:val="95"/>
                      <w:noProof w:val="true"/>
                      <w:spacing w:val="-6"/>
                    </w:rPr>
                    <w:t>表</w:t>
                  </w:r>
                  <w:r>
                    <w:rPr>
                      <w:rFonts w:ascii="Times New Roman" w:hAnsi="Times New Roman" w:cs="Times New Roman"/>
                      <w:b/>
                      <w:u w:val="none"/>
                      <w:sz w:val="24"/>
                      <w:position w:val="0"/>
                      <w:color w:val="000000"/>
                      <w:w w:val="95"/>
                      <w:noProof w:val="true"/>
                      <w:spacing w:val="-8"/>
                    </w:rPr>
                    <w:t>1</w:t>
                  </w:r>
                  <w:r>
                    <w:rPr>
                      <w:rFonts w:ascii="宋体" w:eastAsia="宋体" w:hAnsi="宋体" w:cs="宋体"/>
                      <w:b/>
                      <w:u w:val="none"/>
                      <w:sz w:val="24"/>
                      <w:position w:val="0"/>
                      <w:color w:val="000000"/>
                      <w:w w:val="95"/>
                      <w:noProof w:val="true"/>
                      <w:spacing w:val="-4"/>
                    </w:rPr>
                    <w:t>：支持早期临床试验的抗肿瘤药物研究方案示例</w:t>
                  </w:r>
                </w:p>
              </w:txbxContent>
            </v:textbox>
            <w10:wrap anchorx="page" anchory="page"/>
          </v:shape>
        </w:pict>
      </w:r>
      <w:r>
        <w:rPr>
          <w:rFonts w:ascii="Times New Roman" w:hAnsi="Times New Roman" w:cs="Times New Roman"/>
          <w:u w:val="none"/>
          <w:sz w:val="18"/>
          <w:position w:val="0"/>
          <w:color w:val="000000"/>
          <w:noProof w:val="true"/>
          <w:spacing w:val="-3"/>
          <w:w w:val="100"/>
        </w:rPr>
        <w:t>8</w:t>
      </w:r>
    </w:p>
    <w:p w:rsidR="005A76FB" w:rsidRDefault="005A76FB" w:rsidP="005A76FB">
      <w:pPr>
        <w:widowControl/>
        <w:jc w:val="left"/>
        <w:rPr/>
        <w:sectPr w:rsidR="005A76FB" w:rsidSect="005A76FB">
          <w:type w:val="continuous"/>
          <w:pgSz w:w="11904" w:h="16838"/>
          <w:pgMar w:top="950" w:right="995" w:bottom="710" w:left="1355" w:header="0" w:footer="0" w:gutter="0"/>
          <w:cols w:num="1" w:equalWidth="0">
            <w:col w:w="9554" w:space="0"/>
          </w:cols>
          <w:docGrid w:type="lines" w:linePitch="312"/>
        </w:sectPr>
      </w:pPr>
    </w:p>
    <w:bookmarkStart w:id="9" w:name="9"/>
    <w:bookmarkEnd w:id="9"/>
    <w:tbl>
      <w:tblPr>
        <w:tblStyle w:val="a6"/>
        <w:tblpPr w:leftFromText="180" w:rightFromText="180" vertAnchor="page" horzAnchor="page" w:tblpX="66" w:tblpY="144"/>
        <w:tblW w:w="0" w:type="auto"/>
        <w:tblLayout w:type="fixed"/>
        <w:tblLook w:val="04A0"/>
      </w:tblPr>
      <w:tblGrid>
        <w:gridCol w:w="4153"/>
        <w:gridCol w:w="5141"/>
      </w:tblGrid>
      <w:tr w:rsidR="00AD10A2" w:rsidTr="00CB73A4">
        <w:trPr>
          <w:trHeight w:hRule="exact" w:val="479"/>
        </w:trPr>
        <w:tc>
          <w:tcPr>
            <w:tcW w:w="415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576" w:right="-239"/>
              <w:rPr/>
            </w:pPr>
            <w:r>
              <w:rPr>
                <w:rFonts w:ascii="宋体" w:eastAsia="宋体" w:hAnsi="宋体" w:cs="宋体"/>
                <w:u w:val="none"/>
                <w:sz w:val="24"/>
                <w:position w:val="0"/>
                <w:color w:val="000000"/>
                <w:noProof w:val="true"/>
                <w:spacing w:val="-5"/>
                <w:w w:val="100"/>
              </w:rPr>
              <w:t>每周</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次，连续</w:t>
            </w: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0"/>
                <w:color w:val="000000"/>
                <w:noProof w:val="true"/>
                <w:spacing w:val="-5"/>
                <w:w w:val="100"/>
              </w:rPr>
              <w:t>周，间隔</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周</w:t>
            </w:r>
          </w:p>
        </w:tc>
        <w:tc>
          <w:tcPr>
            <w:tcW w:w="51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1613" w:right="-239"/>
              <w:rPr/>
            </w:pPr>
            <w:r>
              <w:rPr>
                <w:rFonts w:ascii="宋体" w:eastAsia="宋体" w:hAnsi="宋体" w:cs="宋体"/>
                <w:u w:val="none"/>
                <w:sz w:val="24"/>
                <w:position w:val="0"/>
                <w:color w:val="000000"/>
                <w:noProof w:val="true"/>
                <w:spacing w:val="-5"/>
                <w:w w:val="100"/>
              </w:rPr>
              <w:t>每周</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次，连续</w:t>
            </w: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0"/>
                <w:color w:val="000000"/>
                <w:noProof w:val="true"/>
                <w:spacing w:val="-5"/>
                <w:w w:val="100"/>
              </w:rPr>
              <w:t>周</w:t>
            </w:r>
          </w:p>
        </w:tc>
      </w:tr>
      <w:tr w:rsidR="00AD10A2" w:rsidTr="00CB73A4">
        <w:trPr>
          <w:trHeight w:hRule="exact" w:val="475"/>
        </w:trPr>
        <w:tc>
          <w:tcPr>
            <w:tcW w:w="415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1358" w:right="-239"/>
              <w:rPr/>
            </w:pPr>
            <w:r>
              <w:rPr>
                <w:rFonts w:ascii="宋体" w:eastAsia="宋体" w:hAnsi="宋体" w:cs="宋体"/>
                <w:u w:val="none"/>
                <w:sz w:val="24"/>
                <w:position w:val="0"/>
                <w:color w:val="000000"/>
                <w:noProof w:val="true"/>
                <w:spacing w:val="-5"/>
                <w:w w:val="100"/>
              </w:rPr>
              <w:t>每周</w:t>
            </w:r>
            <w:r>
              <w:rPr>
                <w:rFonts w:ascii="Times New Roman" w:hAnsi="Times New Roman" w:cs="Times New Roman"/>
                <w:u w:val="none"/>
                <w:sz w:val="24"/>
                <w:position w:val="0"/>
                <w:color w:val="000000"/>
                <w:noProof w:val="true"/>
                <w:spacing w:val="-3"/>
                <w:w w:val="100"/>
              </w:rPr>
              <w:t>2</w:t>
            </w:r>
            <w:r>
              <w:rPr>
                <w:rFonts w:ascii="宋体" w:eastAsia="宋体" w:hAnsi="宋体" w:cs="宋体"/>
                <w:u w:val="none"/>
                <w:sz w:val="24"/>
                <w:position w:val="0"/>
                <w:color w:val="000000"/>
                <w:noProof w:val="true"/>
                <w:spacing w:val="-5"/>
                <w:w w:val="100"/>
              </w:rPr>
              <w:t>次或</w:t>
            </w: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0"/>
                <w:color w:val="000000"/>
                <w:noProof w:val="true"/>
                <w:spacing w:val="-5"/>
                <w:w w:val="100"/>
              </w:rPr>
              <w:t>次</w:t>
            </w:r>
          </w:p>
        </w:tc>
        <w:tc>
          <w:tcPr>
            <w:tcW w:w="51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1310" w:right="-239"/>
              <w:rPr/>
            </w:pPr>
            <w:r>
              <w:rPr>
                <w:rFonts w:ascii="宋体" w:eastAsia="宋体" w:hAnsi="宋体" w:cs="宋体"/>
                <w:u w:val="none"/>
                <w:sz w:val="24"/>
                <w:position w:val="0"/>
                <w:color w:val="000000"/>
                <w:noProof w:val="true"/>
                <w:spacing w:val="-5"/>
                <w:w w:val="100"/>
              </w:rPr>
              <w:t>每周</w:t>
            </w:r>
            <w:r>
              <w:rPr>
                <w:rFonts w:ascii="Times New Roman" w:hAnsi="Times New Roman" w:cs="Times New Roman"/>
                <w:u w:val="none"/>
                <w:sz w:val="24"/>
                <w:position w:val="0"/>
                <w:color w:val="000000"/>
                <w:noProof w:val="true"/>
                <w:spacing w:val="-3"/>
                <w:w w:val="100"/>
              </w:rPr>
              <w:t>2</w:t>
            </w:r>
            <w:r>
              <w:rPr>
                <w:rFonts w:ascii="宋体" w:eastAsia="宋体" w:hAnsi="宋体" w:cs="宋体"/>
                <w:u w:val="none"/>
                <w:sz w:val="24"/>
                <w:position w:val="0"/>
                <w:color w:val="000000"/>
                <w:noProof w:val="true"/>
                <w:spacing w:val="-5"/>
                <w:w w:val="100"/>
              </w:rPr>
              <w:t>次或</w:t>
            </w: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0"/>
                <w:color w:val="000000"/>
                <w:noProof w:val="true"/>
                <w:spacing w:val="-5"/>
                <w:w w:val="100"/>
              </w:rPr>
              <w:t>次，连续</w:t>
            </w:r>
            <w:r>
              <w:rPr>
                <w:rFonts w:ascii="Times New Roman" w:hAnsi="Times New Roman" w:cs="Times New Roman"/>
                <w:u w:val="none"/>
                <w:sz w:val="24"/>
                <w:position w:val="0"/>
                <w:color w:val="000000"/>
                <w:noProof w:val="true"/>
                <w:spacing w:val="-3"/>
                <w:w w:val="100"/>
              </w:rPr>
              <w:t>4</w:t>
            </w:r>
            <w:r>
              <w:rPr>
                <w:rFonts w:ascii="宋体" w:eastAsia="宋体" w:hAnsi="宋体" w:cs="宋体"/>
                <w:u w:val="none"/>
                <w:sz w:val="24"/>
                <w:position w:val="0"/>
                <w:color w:val="000000"/>
                <w:noProof w:val="true"/>
                <w:spacing w:val="-5"/>
                <w:w w:val="100"/>
              </w:rPr>
              <w:t>周</w:t>
            </w:r>
          </w:p>
        </w:tc>
      </w:tr>
      <w:tr w:rsidR="00AD10A2" w:rsidTr="00CB73A4">
        <w:trPr>
          <w:trHeight w:hRule="exact" w:val="480"/>
        </w:trPr>
        <w:tc>
          <w:tcPr>
            <w:tcW w:w="415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3" w:lineRule="exact"/>
              <w:ind w:left="1656" w:right="-239"/>
              <w:rPr/>
            </w:pPr>
            <w:r>
              <w:rPr>
                <w:rFonts w:ascii="宋体" w:eastAsia="宋体" w:hAnsi="宋体" w:cs="宋体"/>
                <w:u w:val="none"/>
                <w:sz w:val="24"/>
                <w:position w:val="0"/>
                <w:color w:val="000000"/>
                <w:noProof w:val="true"/>
                <w:spacing w:val="-5"/>
                <w:w w:val="100"/>
              </w:rPr>
              <w:t>每</w:t>
            </w:r>
            <w:r>
              <w:rPr>
                <w:rFonts w:ascii="宋体" w:eastAsia="宋体" w:hAnsi="宋体" w:cs="宋体"/>
                <w:u w:val="none"/>
                <w:sz w:val="24"/>
                <w:position w:val="0"/>
                <w:color w:val="000000"/>
                <w:noProof w:val="true"/>
                <w:spacing w:val="-5"/>
                <w:w w:val="100"/>
              </w:rPr>
              <w:t>天</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w:t>
            </w:r>
          </w:p>
        </w:tc>
        <w:tc>
          <w:tcPr>
            <w:tcW w:w="51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3" w:lineRule="exact"/>
              <w:ind w:left="1613" w:right="-239"/>
              <w:rPr/>
            </w:pPr>
            <w:r>
              <w:rPr>
                <w:rFonts w:ascii="宋体" w:eastAsia="宋体" w:hAnsi="宋体" w:cs="宋体"/>
                <w:u w:val="none"/>
                <w:sz w:val="24"/>
                <w:position w:val="0"/>
                <w:color w:val="000000"/>
                <w:noProof w:val="true"/>
                <w:spacing w:val="-5"/>
                <w:w w:val="100"/>
              </w:rPr>
              <w:t>每天</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次，连续</w:t>
            </w:r>
            <w:r>
              <w:rPr>
                <w:rFonts w:ascii="Times New Roman" w:hAnsi="Times New Roman" w:cs="Times New Roman"/>
                <w:u w:val="none"/>
                <w:sz w:val="24"/>
                <w:position w:val="0"/>
                <w:color w:val="000000"/>
                <w:noProof w:val="true"/>
                <w:spacing w:val="-3"/>
                <w:w w:val="100"/>
              </w:rPr>
              <w:t>4</w:t>
            </w:r>
            <w:r>
              <w:rPr>
                <w:rFonts w:ascii="宋体" w:eastAsia="宋体" w:hAnsi="宋体" w:cs="宋体"/>
                <w:u w:val="none"/>
                <w:sz w:val="24"/>
                <w:position w:val="0"/>
                <w:color w:val="000000"/>
                <w:noProof w:val="true"/>
                <w:spacing w:val="-5"/>
                <w:w w:val="100"/>
              </w:rPr>
              <w:t>周</w:t>
            </w:r>
          </w:p>
        </w:tc>
      </w:tr>
      <w:tr w:rsidR="00AD10A2" w:rsidTr="00CB73A4">
        <w:trPr>
          <w:trHeight w:hRule="exact" w:val="479"/>
        </w:trPr>
        <w:tc>
          <w:tcPr>
            <w:tcW w:w="415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1656" w:right="-239"/>
              <w:rPr/>
            </w:pPr>
            <w:r>
              <w:rPr>
                <w:rFonts w:ascii="宋体" w:eastAsia="宋体" w:hAnsi="宋体" w:cs="宋体"/>
                <w:u w:val="none"/>
                <w:sz w:val="24"/>
                <w:position w:val="0"/>
                <w:color w:val="000000"/>
                <w:noProof w:val="true"/>
                <w:spacing w:val="-5"/>
                <w:w w:val="100"/>
              </w:rPr>
              <w:t>每</w:t>
            </w:r>
            <w:r>
              <w:rPr>
                <w:rFonts w:ascii="宋体" w:eastAsia="宋体" w:hAnsi="宋体" w:cs="宋体"/>
                <w:u w:val="none"/>
                <w:sz w:val="24"/>
                <w:position w:val="0"/>
                <w:color w:val="000000"/>
                <w:noProof w:val="true"/>
                <w:spacing w:val="-5"/>
                <w:w w:val="100"/>
              </w:rPr>
              <w:t>周</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w:t>
            </w:r>
          </w:p>
        </w:tc>
        <w:tc>
          <w:tcPr>
            <w:tcW w:w="51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1512" w:right="-239"/>
              <w:rPr/>
            </w:pPr>
            <w:r>
              <w:rPr>
                <w:rFonts w:ascii="宋体" w:eastAsia="宋体" w:hAnsi="宋体" w:cs="宋体"/>
                <w:u w:val="none"/>
                <w:sz w:val="24"/>
                <w:position w:val="0"/>
                <w:color w:val="000000"/>
                <w:noProof w:val="true"/>
                <w:spacing w:val="-5"/>
                <w:w w:val="100"/>
              </w:rPr>
              <w:t>每周</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0"/>
                <w:color w:val="000000"/>
                <w:noProof w:val="true"/>
                <w:spacing w:val="-5"/>
                <w:w w:val="100"/>
              </w:rPr>
              <w:t>次，</w:t>
            </w:r>
            <w:r>
              <w:rPr>
                <w:rFonts w:ascii="Times New Roman" w:hAnsi="Times New Roman" w:cs="Times New Roman"/>
                <w:u w:val="none"/>
                <w:sz w:val="24"/>
                <w:position w:val="0"/>
                <w:color w:val="000000"/>
                <w:noProof w:val="true"/>
                <w:spacing w:val="-2"/>
                <w:w w:val="100"/>
              </w:rPr>
              <w:t>4-5</w:t>
            </w:r>
            <w:r>
              <w:rPr>
                <w:rFonts w:ascii="宋体" w:eastAsia="宋体" w:hAnsi="宋体" w:cs="宋体"/>
                <w:u w:val="none"/>
                <w:sz w:val="24"/>
                <w:position w:val="0"/>
                <w:color w:val="000000"/>
                <w:noProof w:val="true"/>
                <w:spacing w:val="-5"/>
                <w:w w:val="100"/>
              </w:rPr>
              <w:t>次给药</w:t>
            </w:r>
          </w:p>
        </w:tc>
      </w:tr>
    </w:tbl>
    <w:p w:rsidR="005A76FB" w:rsidRDefault="005A76FB" w:rsidP="005A76FB">
      <w:pPr>
        <w:spacing w:before="0" w:after="0" w:lineRule="exact" w:line="113"/>
        <w:ind/>
        <w:rPr/>
      </w:pPr>
    </w:p>
    <w:p w:rsidR="005A76FB" w:rsidRDefault="005A76FB" w:rsidP="005A76FB">
      <w:pPr>
        <w:widowControl/>
        <w:jc w:val="left"/>
        <w:rPr/>
        <w:sectPr w:rsidR="005A76FB" w:rsidSect="005A76FB">
          <w:type w:val="continuous"/>
          <w:pgSz w:w="11904" w:h="16839"/>
          <w:pgMar w:top="950" w:right="995" w:bottom="710" w:left="1355" w:header="0" w:footer="0" w:gutter="0"/>
          <w:docGrid w:type="lines" w:linePitch="312"/>
        </w:sectPr>
      </w:pPr>
    </w:p>
    <w:p w:rsidR="005A76FB" w:rsidRDefault="005A76FB" w:rsidP="005A76FB">
      <w:pPr>
        <w:spacing w:before="0" w:after="0" w:line="175" w:lineRule="exact"/>
        <w:ind w:left="61" w:firstLine="0"/>
        <w:jc w:val="left"/>
        <w:rPr/>
      </w:pPr>
    </w:p>
    <w:p w:rsidR="005A76FB" w:rsidRDefault="005A76FB" w:rsidP="005A76FB">
      <w:pPr>
        <w:spacing w:before="0" w:after="0" w:line="234" w:lineRule="exact"/>
        <w:ind w:firstLine="0"/>
        <w:jc w:val="left"/>
        <w:rPr/>
      </w:pPr>
      <w:r w:rsidRPr="00B3349A">
        <w:rPr/>
        <w:br w:type="column"/>
        <w:t/>
      </w:r>
    </w:p>
    <w:p w:rsidR="005A76FB" w:rsidRDefault="005A76FB" w:rsidP="005A76FB">
      <w:pPr>
        <w:widowControl/>
        <w:jc w:val="left"/>
        <w:rPr/>
        <w:sectPr w:rsidR="005A76FB" w:rsidSect="005A76FB">
          <w:type w:val="continuous"/>
          <w:pgSz w:w="11904" w:h="16839"/>
          <w:pgMar w:top="950" w:right="995" w:bottom="710" w:left="1355" w:header="0" w:footer="0" w:gutter="0"/>
          <w:cols w:num="2" w:equalWidth="0">
            <w:col w:w="142" w:space="0"/>
            <w:col w:w="9411" w:space="0"/>
          </w:cols>
          <w:docGrid w:type="lines" w:linePitch="312"/>
        </w:sectPr>
      </w:pPr>
    </w:p>
    <w:p w:rsidR="005A76FB" w:rsidRDefault="005A76FB" w:rsidP="005A76FB">
      <w:pPr>
        <w:spacing w:before="0" w:after="0" w:lineRule="exact" w:line="234"/>
        <w:ind w:firstLine="0"/>
        <w:rPr/>
      </w:pPr>
    </w:p>
    <w:p w:rsidR="005A76FB" w:rsidRDefault="005A76FB" w:rsidP="005A76FB">
      <w:pPr>
        <w:widowControl/>
        <w:jc w:val="left"/>
        <w:rPr/>
        <w:sectPr w:rsidR="005A76FB" w:rsidSect="005A76FB">
          <w:type w:val="continuous"/>
          <w:pgSz w:w="11904" w:h="16839"/>
          <w:pgMar w:top="950" w:right="995" w:bottom="710" w:left="1355" w:header="0" w:footer="0" w:gutter="0"/>
          <w:docGrid w:type="lines" w:linePitch="312"/>
        </w:sectPr>
      </w:pPr>
    </w:p>
    <w:p w:rsidR="005A76FB" w:rsidRDefault="005A76FB" w:rsidP="005A76FB">
      <w:pPr>
        <w:spacing w:before="0" w:after="0" w:line="211" w:lineRule="exact"/>
        <w:ind w:firstLine="0" w:left="61"/>
        <w:jc w:val="left"/>
        <w:rPr/>
      </w:pPr>
      <w:r>
        <w:rPr>
          <w:noProof/>
        </w:rPr>
        <w:pict>
          <v:shapetype id="_x0000_t202" coordsize="21600,21600" o:spt="202" path="m,l,21600r21600,l21600,xe">
            <v:stroke joinstyle="miter"/>
            <v:path gradientshapeok="t" o:connecttype="rect"/>
          </v:shapetype>
          <v:shape id="wondershare_83" type="#_x0000_t202" style="position:absolute;left:0;text-align:left;margin-left:70.8002pt;margin-top:154.824pt;width:23.9586697pt;height:13.7578583pt;z-index:-1;mso-position-horizontal-relative:page;mso-position-vertical-relative:page" filled="f" stroked="f">
            <v:textbox style="" inset="0,0,0,0">
              <w:txbxContent>
                <w:p w:rsidR="005A76FB" w:rsidRDefault="005A76FB">
                  <w:pPr>
                    <w:autoSpaceDE w:val="0"/>
                    <w:autoSpaceDN w:val="0"/>
                    <w:adjustRightInd w:val="0"/>
                    <w:spacing w:before="0" w:after="0" w:line="175" w:lineRule="exact"/>
                    <w:jc w:val="left"/>
                    <w:rPr/>
                  </w:pPr>
                  <w:r>
                    <w:rPr>
                      <w:rFonts w:ascii="Times New Roman" w:hAnsi="Times New Roman" w:cs="Times New Roman"/>
                      <w:u w:val="none"/>
                      <w:sz w:val="16"/>
                      <w:position w:val="0"/>
                      <w:color w:val="000000"/>
                      <w:noProof w:val="true"/>
                      <w:spacing w:val="-3"/>
                      <w:w w:val="100"/>
                    </w:rPr>
                    <w:t>1</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86" type="#_x0000_t202" style="position:absolute;left:0;text-align:left;margin-left:74.8788pt;margin-top:157.029pt;width:466.245117pt;height:16.6771545pt;z-index:-1;mso-position-horizontal-relative:page;mso-position-vertical-relative:page" filled="f" stroked="f">
            <v:textbox style="" inset="0,0,0,0">
              <w:txbxContent>
                <w:p w:rsidR="005A76FB" w:rsidRDefault="005A76FB">
                  <w:pPr>
                    <w:autoSpaceDE w:val="0"/>
                    <w:autoSpaceDN w:val="0"/>
                    <w:adjustRightInd w:val="0"/>
                    <w:spacing w:before="0" w:after="0" w:line="218" w:lineRule="exact"/>
                    <w:jc w:val="left"/>
                    <w:rPr/>
                  </w:pPr>
                  <w:r>
                    <w:rPr>
                      <w:rFonts w:ascii="宋体" w:eastAsia="宋体" w:hAnsi="宋体" w:cs="宋体"/>
                      <w:u w:val="none"/>
                      <w:sz w:val="21"/>
                      <w:position w:val="0"/>
                      <w:color w:val="000000"/>
                      <w:noProof w:val="true"/>
                      <w:spacing w:val="-5"/>
                      <w:w w:val="100"/>
                    </w:rPr>
                    <w:t>表</w:t>
                  </w:r>
                  <w:r>
                    <w:rPr>
                      <w:rFonts w:ascii="Times New Roman" w:hAnsi="Times New Roman" w:cs="Times New Roman"/>
                      <w:u w:val="none"/>
                      <w:sz w:val="21"/>
                      <w:position w:val="0"/>
                      <w:color w:val="000000"/>
                      <w:noProof w:val="true"/>
                      <w:spacing w:val="-3"/>
                      <w:w w:val="100"/>
                    </w:rPr>
                    <w:t>1</w:t>
                  </w:r>
                  <w:r>
                    <w:rPr>
                      <w:rFonts w:ascii="宋体" w:hAnsi="宋体" w:cs="宋体"/>
                      <w:u w:val="none"/>
                      <w:sz w:val="21"/>
                      <w:position w:val="0"/>
                      <w:color w:val="000000"/>
                      <w:noProof w:val="true"/>
                      <w:spacing w:val="-7"/>
                      <w:w w:val="100"/>
                    </w:rPr>
                    <w:t>中描述了给药时相。应根据预期的毒性特征和临床方案科学地论证非临床试验中毒性评估时间</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00" type="#_x0000_t202" style="position:absolute;left:0;text-align:left;margin-left:74.1591pt;margin-top:226.813pt;width:387.942322pt;height:16.6771545pt;z-index:-1;mso-position-horizontal-relative:page;mso-position-vertical-relative:page" filled="f" stroked="f">
            <v:textbox style="" inset="0,0,0,0">
              <w:txbxContent>
                <w:p w:rsidR="005A76FB" w:rsidRDefault="005A76FB">
                  <w:pPr>
                    <w:autoSpaceDE w:val="0"/>
                    <w:autoSpaceDN w:val="0"/>
                    <w:adjustRightInd w:val="0"/>
                    <w:spacing w:before="0" w:after="0" w:line="234" w:lineRule="exact"/>
                    <w:jc w:val="left"/>
                    <w:rPr/>
                  </w:pPr>
                  <w:r>
                    <w:rPr>
                      <w:rFonts w:ascii="Times New Roman" w:hAnsi="Times New Roman" w:cs="Times New Roman"/>
                      <w:u w:val="none"/>
                      <w:sz w:val="21"/>
                      <w:position w:val="0"/>
                      <w:color w:val="000000"/>
                      <w:noProof w:val="true"/>
                      <w:spacing w:val="-2"/>
                      <w:w w:val="100"/>
                    </w:rPr>
                    <w:t>.</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6"/>
                      <w:w w:val="100"/>
                    </w:rPr>
                    <w:t>关于非临床毒性研究与临床方案之间联系的灵活性的进一步讨论，见</w:t>
                  </w:r>
                  <w:r>
                    <w:rPr>
                      <w:rFonts w:ascii="Times New Roman" w:hAnsi="Times New Roman" w:cs="Times New Roman"/>
                      <w:u w:val="none"/>
                      <w:sz w:val="21"/>
                      <w:position w:val="0"/>
                      <w:color w:val="000000"/>
                      <w:noProof w:val="true"/>
                      <w:spacing w:val="-3"/>
                      <w:w w:val="100"/>
                    </w:rPr>
                    <w:t>3.3</w:t>
                  </w:r>
                  <w:r>
                    <w:rPr>
                      <w:rFonts w:ascii="宋体" w:hAnsi="宋体" w:cs="宋体"/>
                      <w:u w:val="none"/>
                      <w:sz w:val="21"/>
                      <w:position w:val="0"/>
                      <w:color w:val="000000"/>
                      <w:noProof w:val="true"/>
                      <w:spacing w:val="-5"/>
                      <w:w w:val="100"/>
                    </w:rPr>
                    <w:t>章节。</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11" type="#_x0000_t202" style="position:absolute;left:0;text-align:left;margin-left:74.1591pt;margin-top:250.307pt;width:346.916107pt;height:16.6771545pt;z-index:-1;mso-position-horizontal-relative:page;mso-position-vertical-relative:page" filled="f" stroked="f">
            <v:textbox style="" inset="0,0,0,0">
              <w:txbxContent>
                <w:p w:rsidR="005A76FB" w:rsidRDefault="005A76FB">
                  <w:pPr>
                    <w:autoSpaceDE w:val="0"/>
                    <w:autoSpaceDN w:val="0"/>
                    <w:adjustRightInd w:val="0"/>
                    <w:spacing w:before="0" w:after="0" w:line="234" w:lineRule="exact"/>
                    <w:jc w:val="left"/>
                    <w:rPr/>
                  </w:pPr>
                  <w:r>
                    <w:rPr>
                      <w:rFonts w:ascii="Times New Roman" w:hAnsi="Times New Roman" w:cs="Times New Roman"/>
                      <w:u w:val="none"/>
                      <w:sz w:val="21"/>
                      <w:position w:val="0"/>
                      <w:color w:val="000000"/>
                      <w:noProof w:val="true"/>
                      <w:spacing w:val="-2"/>
                      <w:w w:val="100"/>
                    </w:rPr>
                    <w:t>.</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6"/>
                      <w:w w:val="100"/>
                    </w:rPr>
                    <w:t>本表中的给药方案没有规定恢复期（关于恢复期见</w:t>
                  </w:r>
                  <w:r>
                    <w:rPr>
                      <w:rFonts w:ascii="Times New Roman" w:hAnsi="Times New Roman" w:cs="Times New Roman"/>
                      <w:u w:val="none"/>
                      <w:sz w:val="21"/>
                      <w:position w:val="0"/>
                      <w:color w:val="000000"/>
                      <w:noProof w:val="true"/>
                      <w:spacing w:val="-3"/>
                      <w:w w:val="100"/>
                    </w:rPr>
                    <w:t>2.4</w:t>
                  </w:r>
                  <w:r>
                    <w:rPr>
                      <w:rFonts w:ascii="宋体" w:eastAsia="宋体" w:hAnsi="宋体" w:cs="宋体"/>
                      <w:u w:val="none"/>
                      <w:sz w:val="21"/>
                      <w:position w:val="0"/>
                      <w:color w:val="000000"/>
                      <w:noProof w:val="true"/>
                      <w:spacing w:val="-6"/>
                      <w:w w:val="100"/>
                    </w:rPr>
                    <w:t>章节和注释</w:t>
                  </w:r>
                  <w:r>
                    <w:rPr>
                      <w:rFonts w:ascii="Times New Roman" w:hAnsi="Times New Roman" w:cs="Times New Roman"/>
                      <w:u w:val="none"/>
                      <w:sz w:val="21"/>
                      <w:position w:val="0"/>
                      <w:color w:val="000000"/>
                      <w:noProof w:val="true"/>
                      <w:spacing w:val="-3"/>
                      <w:w w:val="100"/>
                    </w:rPr>
                    <w:t>1)</w:t>
                  </w:r>
                  <w:r>
                    <w:rPr>
                      <w:rFonts w:ascii="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2"/>
                      <w:w w:val="100"/>
                    </w:rPr>
                    <w:t>.</w:t>
                  </w:r>
                </w:p>
              </w:txbxContent>
            </v:textbox>
            <w10:wrap anchorx="page" anchory="page"/>
          </v:shape>
        </w:pict>
      </w:r>
      <w:r>
        <w:rPr>
          <w:rFonts w:ascii="宋体" w:hAnsi="宋体" w:cs="宋体"/>
          <w:u w:val="none"/>
          <w:sz w:val="21"/>
          <w:position w:val="0"/>
          <w:color w:val="000000"/>
          <w:noProof w:val="true"/>
          <w:spacing w:val="-6"/>
          <w:w w:val="100"/>
        </w:rPr>
        <w:t>安排的合理性。例如，为检查早期毒性在给药后短期内处死动物，以及为检查迟发毒性而在晚些时</w:t>
      </w:r>
    </w:p>
    <w:p w:rsidR="005A76FB" w:rsidRDefault="005A76FB" w:rsidP="005A76FB">
      <w:pPr>
        <w:spacing w:before="0" w:after="0" w:lineRule="exact" w:line="240"/>
        <w:ind w:firstLine="0" w:left="61"/>
        <w:rPr/>
      </w:pPr>
    </w:p>
    <w:p w:rsidR="005A76FB" w:rsidRDefault="005A76FB" w:rsidP="005A76FB">
      <w:pPr>
        <w:spacing w:before="0" w:after="0" w:line="230" w:lineRule="exact"/>
        <w:ind w:firstLine="0" w:left="61"/>
        <w:jc w:val="left"/>
        <w:rPr/>
      </w:pPr>
      <w:r>
        <w:rPr>
          <w:rFonts w:ascii="宋体" w:hAnsi="宋体" w:cs="宋体"/>
          <w:u w:val="none"/>
          <w:sz w:val="21"/>
          <w:position w:val="0"/>
          <w:color w:val="000000"/>
          <w:noProof w:val="true"/>
          <w:spacing w:val="-6"/>
          <w:w w:val="100"/>
        </w:rPr>
        <w:t>候处死动物，都应该予以考虑。</w:t>
      </w:r>
    </w:p>
    <w:p w:rsidR="005A76FB" w:rsidRDefault="005A76FB" w:rsidP="005A76FB">
      <w:pPr>
        <w:spacing w:before="0" w:after="0" w:line="384" w:lineRule="exact"/>
        <w:ind w:firstLine="0" w:left="61"/>
        <w:jc w:val="left"/>
        <w:rPr/>
      </w:pPr>
      <w:r>
        <w:rPr>
          <w:rFonts w:ascii="Times New Roman" w:hAnsi="Times New Roman" w:cs="Times New Roman"/>
          <w:u w:val="none"/>
          <w:sz w:val="14"/>
          <w:position w:val="0"/>
          <w:color w:val="000000"/>
          <w:noProof w:val="true"/>
          <w:spacing w:val="-3"/>
          <w:w w:val="100"/>
        </w:rPr>
        <w:t>2</w:t>
      </w:r>
    </w:p>
    <w:p w:rsidR="005A76FB" w:rsidRDefault="005A76FB" w:rsidP="005A76FB">
      <w:pPr>
        <w:spacing w:before="0" w:after="0" w:lineRule="exact" w:line="240"/>
        <w:ind w:firstLine="0" w:left="61"/>
        <w:rPr/>
      </w:pPr>
    </w:p>
    <w:p w:rsidR="005A76FB" w:rsidRDefault="005A76FB" w:rsidP="005A76FB">
      <w:pPr>
        <w:spacing w:before="0" w:after="0" w:line="230" w:lineRule="exact"/>
        <w:ind w:firstLine="0" w:left="61"/>
        <w:jc w:val="left"/>
        <w:rPr/>
      </w:pPr>
      <w:r>
        <w:rPr>
          <w:rFonts w:ascii="Times New Roman" w:hAnsi="Times New Roman" w:cs="Times New Roman"/>
          <w:u w:val="none"/>
          <w:sz w:val="14"/>
          <w:position w:val="0"/>
          <w:color w:val="000000"/>
          <w:noProof w:val="true"/>
          <w:spacing w:val="-3"/>
          <w:w w:val="100"/>
        </w:rPr>
        <w:t>3</w:t>
      </w:r>
    </w:p>
    <w:p w:rsidR="005A76FB" w:rsidRDefault="005A76FB" w:rsidP="005A76FB">
      <w:pPr>
        <w:widowControl/>
        <w:jc w:val="left"/>
        <w:rPr/>
        <w:sectPr w:rsidR="005A76FB" w:rsidSect="005A76FB">
          <w:type w:val="continuous"/>
          <w:pgSz w:w="11904" w:h="16839"/>
          <w:pgMar w:top="950" w:right="995" w:bottom="710" w:left="1355" w:header="0" w:footer="0" w:gutter="0"/>
          <w:cols w:num="1" w:equalWidth="0">
            <w:col w:w="9554" w:space="0"/>
          </w:cols>
          <w:docGrid w:type="lines" w:linePitch="312"/>
        </w:sectPr>
      </w:pPr>
    </w:p>
    <w:p w:rsidR="005A76FB" w:rsidRDefault="005A76FB" w:rsidP="005A76FB">
      <w:pPr>
        <w:spacing w:before="0" w:after="0" w:lineRule="exact" w:line="240"/>
        <w:ind w:firstLine="0" w:left="61"/>
        <w:rPr/>
      </w:pPr>
    </w:p>
    <w:p w:rsidR="005A76FB" w:rsidRDefault="005A76FB" w:rsidP="005A76FB">
      <w:pPr>
        <w:spacing w:before="0" w:after="0" w:line="225" w:lineRule="exact"/>
        <w:ind w:firstLine="0" w:left="61"/>
        <w:jc w:val="left"/>
        <w:rPr/>
      </w:pPr>
      <w:r>
        <w:rPr>
          <w:rFonts w:ascii="Times New Roman" w:hAnsi="Times New Roman" w:cs="Times New Roman"/>
          <w:u w:val="none"/>
          <w:sz w:val="14"/>
          <w:position w:val="0"/>
          <w:color w:val="000000"/>
          <w:noProof w:val="true"/>
          <w:spacing w:val="-4"/>
          <w:w w:val="100"/>
        </w:rPr>
        <w:t>4.</w:t>
      </w:r>
    </w:p>
    <w:p w:rsidR="005A76FB" w:rsidRDefault="005A76FB" w:rsidP="005A76FB">
      <w:pPr>
        <w:spacing w:before="0" w:after="0" w:line="235" w:lineRule="exact"/>
        <w:ind w:firstLine="0"/>
        <w:jc w:val="left"/>
        <w:rPr/>
      </w:pPr>
      <w:r w:rsidRPr="00B3349A">
        <w:rPr/>
        <w:br w:type="column"/>
        <w:t/>
      </w:r>
      <w:r w:rsidRPr="00B3349A">
        <w:rPr/>
        <w:lastRenderedPageBreak/>
        <w:t/>
      </w:r>
      <w:r>
        <w:rPr>
          <w:rFonts w:ascii="宋体" w:hAnsi="宋体" w:cs="宋体"/>
          <w:u w:val="none"/>
          <w:sz w:val="21"/>
          <w:position w:val="0"/>
          <w:color w:val="000000"/>
          <w:noProof w:val="true"/>
          <w:spacing w:val="-6"/>
          <w:w w:val="100"/>
        </w:rPr>
        <w:t>对于具有广泛的药理作用、长半衰期或过敏反应潜力的分子，本表中的给药方案应进行适当调</w:t>
      </w:r>
    </w:p>
    <w:p w:rsidR="005A76FB" w:rsidRDefault="005A76FB" w:rsidP="005A76FB">
      <w:pPr>
        <w:widowControl/>
        <w:jc w:val="left"/>
        <w:rPr/>
        <w:sectPr w:rsidR="005A76FB" w:rsidSect="005A76FB">
          <w:type w:val="continuous"/>
          <w:pgSz w:w="11904" w:h="16839"/>
          <w:pgMar w:top="950" w:right="995" w:bottom="710" w:left="1355" w:header="0" w:footer="0" w:gutter="0"/>
          <w:cols w:num="2" w:equalWidth="0">
            <w:col w:w="267" w:space="0"/>
            <w:col w:w="9287" w:space="0"/>
          </w:cols>
          <w:docGrid w:type="lines" w:linePitch="312"/>
        </w:sectPr>
      </w:pPr>
    </w:p>
    <w:p w:rsidR="005A76FB" w:rsidRDefault="005A76FB" w:rsidP="005A76FB">
      <w:pPr>
        <w:spacing w:before="0" w:after="0" w:lineRule="exact" w:line="253"/>
        <w:ind w:firstLine="0"/>
        <w:rPr/>
      </w:pPr>
    </w:p>
    <w:p w:rsidR="005A76FB" w:rsidRDefault="005A76FB" w:rsidP="005A76FB">
      <w:pPr>
        <w:widowControl/>
        <w:jc w:val="left"/>
        <w:rPr/>
        <w:sectPr w:rsidR="005A76FB" w:rsidSect="005A76FB">
          <w:type w:val="continuous"/>
          <w:pgSz w:w="11904" w:h="16839"/>
          <w:pgMar w:top="950" w:right="995" w:bottom="710" w:left="1355" w:header="0" w:footer="0" w:gutter="0"/>
          <w:docGrid w:type="lines" w:linePitch="312"/>
        </w:sectPr>
      </w:pPr>
    </w:p>
    <w:p w:rsidR="005A76FB" w:rsidRDefault="005A76FB" w:rsidP="005A76FB">
      <w:pPr>
        <w:spacing w:before="0" w:after="0" w:line="234" w:lineRule="exact"/>
        <w:ind w:firstLine="0" w:left="61"/>
        <w:jc w:val="left"/>
        <w:rPr/>
      </w:pPr>
      <w:r>
        <w:rPr>
          <w:rFonts w:ascii="宋体" w:hAnsi="宋体" w:cs="宋体"/>
          <w:u w:val="none"/>
          <w:sz w:val="21"/>
          <w:position w:val="0"/>
          <w:color w:val="000000"/>
          <w:noProof w:val="true"/>
          <w:spacing w:val="-6"/>
          <w:w w:val="100"/>
        </w:rPr>
        <w:t>整。此外，应考虑免疫原性的潜在作用（见</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S6</w:t>
      </w:r>
      <w:r>
        <w:rPr>
          <w:rFonts w:ascii="宋体" w:hAnsi="宋体" w:cs="宋体"/>
          <w:u w:val="none"/>
          <w:sz w:val="21"/>
          <w:position w:val="0"/>
          <w:color w:val="000000"/>
          <w:noProof w:val="true"/>
          <w:spacing w:val="-8"/>
          <w:w w:val="100"/>
        </w:rPr>
        <w:t>）。</w:t>
      </w:r>
    </w:p>
    <w:p w:rsidR="005A76FB" w:rsidRDefault="005A76FB" w:rsidP="005A76FB">
      <w:pPr>
        <w:spacing w:before="0" w:after="0" w:lineRule="exact" w:line="240"/>
        <w:ind w:firstLine="0" w:left="61"/>
        <w:rPr/>
      </w:pPr>
    </w:p>
    <w:p w:rsidR="005A76FB" w:rsidRDefault="005A76FB" w:rsidP="005A76FB">
      <w:pPr>
        <w:spacing w:before="0" w:after="0" w:lineRule="exact" w:line="240"/>
        <w:ind w:firstLine="0" w:left="61"/>
        <w:rPr/>
      </w:pPr>
    </w:p>
    <w:p w:rsidR="005A76FB" w:rsidRDefault="005A76FB" w:rsidP="005A76FB">
      <w:pPr>
        <w:spacing w:before="0" w:after="0" w:line="471" w:lineRule="exact"/>
        <w:ind w:firstLine="0" w:left="61"/>
        <w:jc w:val="left"/>
        <w:rPr/>
      </w:pPr>
      <w:r>
        <w:rPr>
          <w:rFonts w:ascii="Times New Roman" w:hAnsi="Times New Roman" w:cs="Times New Roman"/>
          <w:b/>
          <w:u w:val="none"/>
          <w:sz w:val="24"/>
          <w:position w:val="0"/>
          <w:color w:val="000000"/>
          <w:w w:val="95"/>
          <w:noProof w:val="true"/>
          <w:spacing w:val="-2"/>
        </w:rPr>
        <w:t>3.4</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支持后续临床试验和上市的毒理学研究周期</w:t>
      </w:r>
    </w:p>
    <w:p w:rsidR="005A76FB" w:rsidRDefault="005A76FB" w:rsidP="005A76FB">
      <w:pPr>
        <w:spacing w:before="0" w:after="0" w:line="448" w:lineRule="exact"/>
        <w:ind w:firstLine="480" w:left="61"/>
        <w:jc w:val="left"/>
        <w:rPr/>
      </w:pPr>
      <w:r>
        <w:rPr>
          <w:rFonts w:ascii="宋体" w:hAnsi="宋体" w:cs="宋体"/>
          <w:u w:val="none"/>
          <w:sz w:val="24"/>
          <w:position w:val="0"/>
          <w:color w:val="000000"/>
          <w:noProof w:val="true"/>
          <w:spacing w:val="-5"/>
          <w:w w:val="100"/>
        </w:rPr>
        <w:t>支持Ⅰ期临床试验的非临床资料和Ⅰ期临床资料通常足以支持进行Ⅱ期临床试</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验，和支持进入晚期肿瘤患者的二线或一线治疗。为了支持用于晚期肿瘤患者抗肿瘤</w:t>
      </w:r>
    </w:p>
    <w:p w:rsidR="005A76FB" w:rsidRDefault="005A76FB" w:rsidP="005A76FB">
      <w:pPr>
        <w:spacing w:before="0" w:after="0" w:lineRule="exact" w:line="218"/>
        <w:ind w:firstLine="0" w:left="61"/>
        <w:rPr/>
      </w:pPr>
    </w:p>
    <w:p w:rsidR="005A76FB" w:rsidRDefault="005A76FB" w:rsidP="005A76FB">
      <w:pPr>
        <w:spacing w:before="0" w:after="0" w:line="265" w:lineRule="exact"/>
        <w:ind w:firstLine="0" w:left="61"/>
        <w:jc w:val="left"/>
        <w:rPr/>
      </w:pPr>
      <w:r>
        <w:rPr>
          <w:rFonts w:ascii="宋体" w:hAnsi="宋体" w:cs="宋体"/>
          <w:u w:val="none"/>
          <w:sz w:val="24"/>
          <w:position w:val="0"/>
          <w:color w:val="000000"/>
          <w:noProof w:val="true"/>
          <w:spacing w:val="-5"/>
          <w:w w:val="100"/>
        </w:rPr>
        <w:t>药物的后续开发，在Ⅲ期试验开始之前应提供符合临床拟定方案的为期</w:t>
      </w: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0"/>
          <w:color w:val="000000"/>
          <w:noProof w:val="true"/>
          <w:spacing w:val="-5"/>
          <w:w w:val="100"/>
        </w:rPr>
        <w:t>个月的重复给</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药毒性试验结果。对于拟用于晚期肿瘤患者的大多数药物来说，为期</w:t>
      </w: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0"/>
          <w:color w:val="000000"/>
          <w:noProof w:val="true"/>
          <w:spacing w:val="-5"/>
          <w:w w:val="100"/>
        </w:rPr>
        <w:t>个月的非临床毒</w:t>
      </w:r>
    </w:p>
    <w:p w:rsidR="005A76FB" w:rsidRDefault="005A76FB" w:rsidP="005A76FB">
      <w:pPr>
        <w:spacing w:before="0" w:after="0" w:line="447" w:lineRule="exact"/>
        <w:ind w:firstLine="0" w:left="61"/>
        <w:jc w:val="left"/>
        <w:rPr/>
      </w:pPr>
      <w:r>
        <w:rPr>
          <w:rFonts w:ascii="宋体" w:hAnsi="宋体" w:cs="宋体"/>
          <w:u w:val="none"/>
          <w:sz w:val="24"/>
          <w:position w:val="0"/>
          <w:color w:val="000000"/>
          <w:noProof w:val="true"/>
          <w:spacing w:val="-5"/>
          <w:w w:val="100"/>
        </w:rPr>
        <w:t>性试验足以支持上市。</w:t>
      </w:r>
    </w:p>
    <w:p w:rsidR="005A76FB" w:rsidRDefault="005A76FB" w:rsidP="005A76FB">
      <w:pPr>
        <w:spacing w:before="0" w:after="0" w:line="470" w:lineRule="exact"/>
        <w:ind w:firstLine="480" w:left="61"/>
        <w:jc w:val="left"/>
        <w:rPr/>
      </w:pPr>
      <w:r>
        <w:rPr>
          <w:rFonts w:ascii="宋体" w:hAnsi="宋体" w:cs="宋体"/>
          <w:u w:val="none"/>
          <w:sz w:val="24"/>
          <w:position w:val="0"/>
          <w:color w:val="000000"/>
          <w:noProof w:val="true"/>
          <w:spacing w:val="-5"/>
          <w:w w:val="100"/>
        </w:rPr>
        <w:t>当考虑改变临床方案时，应评估已有临床数据支持方案变更的合理性。如果仅依</w:t>
      </w:r>
    </w:p>
    <w:p w:rsidR="005A76FB" w:rsidRDefault="005A76FB" w:rsidP="005A76FB">
      <w:pPr>
        <w:spacing w:before="0" w:after="0" w:lineRule="exact" w:line="218"/>
        <w:ind w:firstLine="480" w:left="61"/>
        <w:rPr/>
      </w:pPr>
    </w:p>
    <w:p w:rsidR="005A76FB" w:rsidRDefault="005A76FB" w:rsidP="005A76FB">
      <w:pPr>
        <w:spacing w:before="0" w:after="0" w:line="265" w:lineRule="exact"/>
        <w:ind w:firstLine="0" w:left="61"/>
        <w:jc w:val="left"/>
        <w:rPr/>
      </w:pPr>
      <w:r>
        <w:rPr>
          <w:rFonts w:ascii="宋体" w:eastAsia="宋体" w:hAnsi="宋体" w:cs="宋体"/>
          <w:u w:val="none"/>
          <w:sz w:val="24"/>
          <w:position w:val="0"/>
          <w:color w:val="000000"/>
          <w:noProof w:val="true"/>
          <w:spacing w:val="-5"/>
          <w:w w:val="100"/>
        </w:rPr>
        <w:t>据临床资料不足以支持临床方案变更，应考虑</w:t>
      </w:r>
      <w:r>
        <w:rPr>
          <w:rFonts w:ascii="Times New Roman" w:hAnsi="Times New Roman" w:cs="Times New Roman"/>
          <w:u w:val="none"/>
          <w:sz w:val="24"/>
          <w:position w:val="0"/>
          <w:color w:val="000000"/>
          <w:noProof w:val="true"/>
          <w:spacing w:val="-2"/>
          <w:w w:val="100"/>
        </w:rPr>
        <w:t>3.3</w:t>
      </w:r>
      <w:r>
        <w:rPr>
          <w:rFonts w:ascii="宋体" w:hAnsi="宋体" w:cs="宋体"/>
          <w:u w:val="none"/>
          <w:sz w:val="24"/>
          <w:position w:val="0"/>
          <w:color w:val="000000"/>
          <w:noProof w:val="true"/>
          <w:spacing w:val="-5"/>
          <w:w w:val="100"/>
        </w:rPr>
        <w:t>章节中讨论的其他因素。</w:t>
      </w:r>
    </w:p>
    <w:p w:rsidR="005A76FB" w:rsidRDefault="005A76FB" w:rsidP="005A76FB">
      <w:pPr>
        <w:spacing w:before="0" w:after="0" w:line="470" w:lineRule="exact"/>
        <w:ind w:firstLine="0" w:left="61"/>
        <w:jc w:val="left"/>
        <w:rPr/>
      </w:pPr>
      <w:r>
        <w:rPr>
          <w:rFonts w:ascii="Times New Roman" w:hAnsi="Times New Roman" w:cs="Times New Roman"/>
          <w:b/>
          <w:u w:val="none"/>
          <w:sz w:val="24"/>
          <w:position w:val="0"/>
          <w:color w:val="000000"/>
          <w:w w:val="95"/>
          <w:noProof w:val="true"/>
          <w:spacing w:val="-2"/>
        </w:rPr>
        <w:t>3.5</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药物联合应用</w:t>
      </w:r>
    </w:p>
    <w:p w:rsidR="005A76FB" w:rsidRDefault="005A76FB" w:rsidP="005A76FB">
      <w:pPr>
        <w:spacing w:before="0" w:after="0" w:line="447" w:lineRule="exact"/>
        <w:ind w:firstLine="480" w:left="61"/>
        <w:jc w:val="left"/>
        <w:rPr/>
      </w:pPr>
      <w:r>
        <w:rPr>
          <w:rFonts w:ascii="宋体" w:hAnsi="宋体" w:cs="宋体"/>
          <w:u w:val="none"/>
          <w:sz w:val="24"/>
          <w:position w:val="0"/>
          <w:color w:val="000000"/>
          <w:noProof w:val="true"/>
          <w:spacing w:val="-5"/>
          <w:w w:val="100"/>
        </w:rPr>
        <w:t>计划联合应用的药物在毒理学评价中应分别进行良好的单个药物研究。在开始临</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床研究之前，应提供支持联合用药合理性的数据。通常，拟用于晚期肿瘤患者联合用</w:t>
      </w:r>
    </w:p>
    <w:p w:rsidR="005A76FB" w:rsidRDefault="005A76FB" w:rsidP="005A76FB">
      <w:pPr>
        <w:spacing w:before="0" w:after="0" w:line="465" w:lineRule="exact"/>
        <w:ind w:firstLine="0" w:left="61"/>
        <w:jc w:val="left"/>
        <w:rPr/>
      </w:pPr>
      <w:r>
        <w:rPr>
          <w:rFonts w:ascii="宋体" w:hAnsi="宋体" w:cs="宋体"/>
          <w:u w:val="none"/>
          <w:sz w:val="24"/>
          <w:position w:val="0"/>
          <w:color w:val="000000"/>
          <w:noProof w:val="true"/>
          <w:spacing w:val="-5"/>
          <w:w w:val="100"/>
        </w:rPr>
        <w:t>药的安全性毒理学研究是没有必要的。如果药物的人体毒性特征已经明确，通常认为</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无需进行评价药物联用的非临床研究。对于至少一个化合物仍处于早期研发阶段（即</w:t>
      </w:r>
    </w:p>
    <w:p w:rsidR="005A76FB" w:rsidRDefault="005A76FB" w:rsidP="005A76FB">
      <w:pPr>
        <w:spacing w:before="0" w:after="0" w:line="465" w:lineRule="exact"/>
        <w:ind w:firstLine="0" w:left="61"/>
        <w:jc w:val="left"/>
        <w:rPr/>
      </w:pPr>
      <w:r>
        <w:rPr>
          <w:rFonts w:ascii="宋体" w:eastAsia="宋体" w:hAnsi="宋体" w:cs="宋体"/>
          <w:u w:val="none"/>
          <w:sz w:val="24"/>
          <w:position w:val="0"/>
          <w:color w:val="000000"/>
          <w:noProof w:val="true"/>
          <w:spacing w:val="-5"/>
          <w:w w:val="100"/>
        </w:rPr>
        <w:t>其人体毒性特征尚未明确）的联合用药研究，应提供一个药理学试验以支持联合用</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药。这个试验应基于有限的安全性终点指标（如死亡率、临床症状和体重），证明毒</w:t>
      </w:r>
    </w:p>
    <w:p w:rsidR="005A76FB" w:rsidRDefault="005A76FB" w:rsidP="005A76FB">
      <w:pPr>
        <w:spacing w:before="0" w:after="0" w:line="466" w:lineRule="exact"/>
        <w:ind w:firstLine="0" w:left="61"/>
        <w:jc w:val="left"/>
        <w:rPr/>
      </w:pPr>
      <w:r>
        <w:rPr>
          <w:rFonts w:ascii="宋体" w:hAnsi="宋体" w:cs="宋体"/>
          <w:u w:val="none"/>
          <w:sz w:val="24"/>
          <w:position w:val="0"/>
          <w:color w:val="000000"/>
          <w:noProof w:val="true"/>
          <w:spacing w:val="-5"/>
          <w:w w:val="100"/>
        </w:rPr>
        <w:t>性没有实质增加的情况下活性增加。应当根据已有的信息，决定是否必要进行一个针</w:t>
      </w:r>
    </w:p>
    <w:p w:rsidR="005A76FB" w:rsidRDefault="005A76FB" w:rsidP="005A76FB">
      <w:pPr>
        <w:spacing w:before="0" w:after="0" w:line="470" w:lineRule="exact"/>
        <w:ind w:firstLine="0" w:left="61"/>
        <w:jc w:val="left"/>
        <w:rPr/>
      </w:pPr>
      <w:r>
        <w:rPr>
          <w:rFonts w:ascii="宋体" w:hAnsi="宋体" w:cs="宋体"/>
          <w:u w:val="none"/>
          <w:sz w:val="24"/>
          <w:position w:val="0"/>
          <w:color w:val="000000"/>
          <w:noProof w:val="true"/>
          <w:spacing w:val="-5"/>
          <w:w w:val="100"/>
        </w:rPr>
        <w:t>对联合用药的毒理学研究。</w:t>
      </w:r>
    </w:p>
    <w:p w:rsidR="005A76FB" w:rsidRDefault="005A76FB" w:rsidP="005A76FB">
      <w:pPr>
        <w:spacing w:before="0" w:after="0" w:lineRule="exact" w:line="218"/>
        <w:ind w:firstLine="0" w:left="61"/>
        <w:rPr/>
      </w:pPr>
    </w:p>
    <w:p w:rsidR="005A76FB" w:rsidRDefault="005A76FB" w:rsidP="005A76FB">
      <w:pPr>
        <w:spacing w:before="0" w:after="0" w:line="265" w:lineRule="exact"/>
        <w:ind w:firstLine="0" w:left="61"/>
        <w:jc w:val="left"/>
        <w:rPr/>
      </w:pPr>
      <w:r>
        <w:rPr>
          <w:rFonts w:ascii="Times New Roman" w:hAnsi="Times New Roman" w:cs="Times New Roman"/>
          <w:b/>
          <w:u w:val="none"/>
          <w:sz w:val="24"/>
          <w:position w:val="0"/>
          <w:color w:val="000000"/>
          <w:w w:val="95"/>
          <w:noProof w:val="true"/>
          <w:spacing w:val="-2"/>
        </w:rPr>
        <w:t>3.6</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支持在儿童人群中试验的非临床研究</w:t>
      </w:r>
    </w:p>
    <w:p w:rsidR="005A76FB" w:rsidRDefault="005A76FB" w:rsidP="005A76FB">
      <w:pPr>
        <w:spacing w:before="0" w:after="0" w:line="452" w:lineRule="exact"/>
        <w:ind w:firstLine="480" w:left="61"/>
        <w:jc w:val="left"/>
        <w:rPr/>
      </w:pPr>
      <w:r>
        <w:rPr>
          <w:rFonts w:ascii="宋体" w:eastAsia="宋体" w:hAnsi="宋体" w:cs="宋体"/>
          <w:u w:val="none"/>
          <w:sz w:val="24"/>
          <w:position w:val="0"/>
          <w:color w:val="000000"/>
          <w:noProof w:val="true"/>
          <w:spacing w:val="-5"/>
          <w:w w:val="100"/>
        </w:rPr>
        <w:t>在儿科患者中进行的大多数抗肿瘤药物研究的一般范例是：首先确定在成人群体</w:t>
      </w:r>
    </w:p>
    <w:p w:rsidR="005A76FB" w:rsidRDefault="005A76FB" w:rsidP="005A76FB">
      <w:pPr>
        <w:spacing w:before="0" w:after="0" w:line="303" w:lineRule="exact"/>
        <w:ind w:firstLine="8982" w:left="61"/>
        <w:jc w:val="left"/>
        <w:rPr/>
      </w:pPr>
      <w:r>
        <w:rPr>
          <w:rFonts w:ascii="Times New Roman" w:hAnsi="Times New Roman" w:cs="Times New Roman"/>
          <w:u w:val="none"/>
          <w:sz w:val="18"/>
          <w:position w:val="0"/>
          <w:color w:val="000000"/>
          <w:noProof w:val="true"/>
          <w:spacing w:val="-3"/>
          <w:w w:val="100"/>
        </w:rPr>
        <w:t>9</w:t>
      </w:r>
    </w:p>
    <w:p w:rsidR="005A76FB" w:rsidRDefault="005A76FB" w:rsidP="005A76FB">
      <w:pPr>
        <w:widowControl/>
        <w:jc w:val="left"/>
        <w:rPr/>
        <w:sectPr w:rsidR="005A76FB" w:rsidSect="005A76FB">
          <w:type w:val="continuous"/>
          <w:pgSz w:w="11904" w:h="16839"/>
          <w:pgMar w:top="950" w:right="995" w:bottom="710" w:left="1355" w:header="0" w:footer="0" w:gutter="0"/>
          <w:cols w:num="1" w:equalWidth="0">
            <w:col w:w="9554" w:space="0"/>
          </w:cols>
          <w:docGrid w:type="lines" w:linePitch="312"/>
        </w:sectPr>
      </w:pPr>
    </w:p>
    <w:bookmarkStart w:id="10" w:name="10"/>
    <w:bookmarkEnd w:id="10"/>
    <w:p w:rsidR="005A76FB" w:rsidRDefault="005A76FB" w:rsidP="005A76FB">
      <w:pPr>
        <w:spacing w:before="0" w:after="0" w:lineRule="exact" w:line="240"/>
        <w:ind/>
        <w:rPr/>
      </w:pPr>
    </w:p>
    <w:p w:rsidR="005A76FB" w:rsidRDefault="005A76FB" w:rsidP="005A76FB">
      <w:pPr>
        <w:spacing w:before="0" w:after="0" w:line="254" w:lineRule="exact"/>
        <w:ind w:left="-1354" w:firstLine="1416"/>
        <w:jc w:val="left"/>
        <w:rPr/>
      </w:pPr>
      <w:r>
        <w:rPr>
          <w:rFonts w:ascii="宋体" w:hAnsi="宋体" w:cs="宋体"/>
          <w:u w:val="none"/>
          <w:sz w:val="24"/>
          <w:position w:val="0"/>
          <w:color w:val="000000"/>
          <w:noProof w:val="true"/>
          <w:spacing w:val="-5"/>
          <w:w w:val="100"/>
        </w:rPr>
        <w:t>中的相对安全剂量，然后在初步的儿科临床试验中评估比该剂量更低的剂量。本指导</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原则其它部分列出的非临床试验建议也适用于儿童人群。一般不会为了支持癌症治疗</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纳入儿科肿瘤患者而开展幼龄动物研究。只有在认为人体安全性数据和已有的动物试</w:t>
      </w:r>
    </w:p>
    <w:p w:rsidR="005A76FB" w:rsidRDefault="005A76FB" w:rsidP="005A76FB">
      <w:pPr>
        <w:spacing w:before="0" w:after="0" w:line="470" w:lineRule="exact"/>
        <w:ind w:firstLine="1416" w:left="-1354"/>
        <w:jc w:val="left"/>
        <w:rPr/>
      </w:pPr>
      <w:r>
        <w:rPr>
          <w:rFonts w:ascii="宋体" w:eastAsia="宋体" w:hAnsi="宋体" w:cs="宋体"/>
          <w:u w:val="none"/>
          <w:sz w:val="24"/>
          <w:position w:val="0"/>
          <w:color w:val="000000"/>
          <w:noProof w:val="true"/>
          <w:spacing w:val="-5"/>
          <w:w w:val="100"/>
        </w:rPr>
        <w:t>验数据不足以支持拟在相应年龄段儿童人群中的安全性评价时，才考虑在幼龄动物中</w:t>
      </w:r>
    </w:p>
    <w:p w:rsidR="005A76FB" w:rsidRDefault="005A76FB" w:rsidP="005A76FB">
      <w:pPr>
        <w:spacing w:before="0" w:after="0" w:line="465" w:lineRule="exact"/>
        <w:ind w:firstLine="1416" w:left="-1354"/>
        <w:jc w:val="left"/>
        <w:rPr/>
      </w:pPr>
      <w:r>
        <w:rPr>
          <w:rFonts w:ascii="宋体" w:eastAsia="宋体" w:hAnsi="宋体" w:cs="宋体"/>
          <w:u w:val="none"/>
          <w:sz w:val="24"/>
          <w:position w:val="0"/>
          <w:color w:val="000000"/>
          <w:noProof w:val="true"/>
          <w:spacing w:val="-5"/>
          <w:w w:val="100"/>
        </w:rPr>
        <w:t>进行</w:t>
      </w:r>
      <w:r>
        <w:rPr>
          <w:rFonts w:ascii="宋体" w:eastAsia="宋体" w:hAnsi="宋体" w:cs="宋体"/>
          <w:u w:val="none"/>
          <w:sz w:val="24"/>
          <w:position w:val="0"/>
          <w:color w:val="000000"/>
          <w:noProof w:val="true"/>
          <w:spacing w:val="-5"/>
          <w:w w:val="100"/>
        </w:rPr>
        <w:t>研究</w:t>
      </w:r>
      <w:r>
        <w:rPr>
          <w:rFonts w:ascii="宋体" w:hAnsi="宋体" w:cs="宋体"/>
          <w:u w:val="none"/>
          <w:sz w:val="24"/>
          <w:position w:val="0"/>
          <w:color w:val="000000"/>
          <w:noProof w:val="true"/>
          <w:spacing w:val="-5"/>
          <w:w w:val="100"/>
        </w:rPr>
        <w:t>。</w:t>
      </w:r>
    </w:p>
    <w:p w:rsidR="005A76FB" w:rsidRDefault="005A76FB" w:rsidP="005A76FB">
      <w:pPr>
        <w:spacing w:before="0" w:after="0" w:lineRule="exact" w:line="222"/>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4.</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95"/>
          <w:noProof w:val="true"/>
          <w:spacing w:val="-5"/>
        </w:rPr>
        <w:t>其他考虑</w:t>
      </w:r>
    </w:p>
    <w:p w:rsidR="005A76FB" w:rsidRDefault="005A76FB" w:rsidP="005A76FB">
      <w:pPr>
        <w:spacing w:before="0" w:after="0" w:line="465" w:lineRule="exact"/>
        <w:ind w:firstLine="1416" w:left="-1354"/>
        <w:jc w:val="left"/>
        <w:rPr/>
      </w:pPr>
      <w:r>
        <w:rPr>
          <w:rFonts w:ascii="Times New Roman" w:hAnsi="Times New Roman" w:cs="Times New Roman"/>
          <w:b/>
          <w:u w:val="none"/>
          <w:sz w:val="24"/>
          <w:position w:val="0"/>
          <w:color w:val="000000"/>
          <w:w w:val="95"/>
          <w:noProof w:val="true"/>
          <w:spacing w:val="-2"/>
        </w:rPr>
        <w:t>4.1</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偶联药物</w:t>
      </w:r>
    </w:p>
    <w:p w:rsidR="005A76FB" w:rsidRDefault="005A76FB" w:rsidP="005A76FB">
      <w:pPr>
        <w:spacing w:before="0" w:after="0" w:line="452" w:lineRule="exact"/>
        <w:ind w:firstLine="1896" w:left="-1354"/>
        <w:jc w:val="left"/>
        <w:rPr/>
      </w:pPr>
      <w:r>
        <w:rPr>
          <w:rFonts w:ascii="宋体" w:hAnsi="宋体" w:cs="宋体"/>
          <w:u w:val="none"/>
          <w:sz w:val="24"/>
          <w:position w:val="0"/>
          <w:color w:val="000000"/>
          <w:noProof w:val="true"/>
          <w:spacing w:val="-5"/>
          <w:w w:val="100"/>
        </w:rPr>
        <w:t>偶联药物是与载体分子如蛋白质、脂质或糖共价结合的药物。偶联物质的安全性</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是主要关心的问题。对于非偶联物质，比如连接子，可以进行相对有限的安全性评</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价。应提供偶联药物在试验动物种属和人血浆中的稳定性信息。毒代动力学需要对给</w:t>
      </w:r>
    </w:p>
    <w:p w:rsidR="005A76FB" w:rsidRDefault="005A76FB" w:rsidP="005A76FB">
      <w:pPr>
        <w:spacing w:before="0" w:after="0" w:line="466" w:lineRule="exact"/>
        <w:ind w:firstLine="1416" w:left="-1354"/>
        <w:jc w:val="left"/>
        <w:rPr/>
      </w:pPr>
      <w:r>
        <w:rPr>
          <w:rFonts w:ascii="宋体" w:hAnsi="宋体" w:cs="宋体"/>
          <w:u w:val="none"/>
          <w:sz w:val="24"/>
          <w:position w:val="0"/>
          <w:color w:val="000000"/>
          <w:noProof w:val="true"/>
          <w:spacing w:val="-5"/>
          <w:w w:val="100"/>
        </w:rPr>
        <w:t>药后偶联的和非偶联的化合物都进行评价。</w:t>
      </w:r>
    </w:p>
    <w:p w:rsidR="005A76FB" w:rsidRDefault="005A76FB" w:rsidP="005A76FB">
      <w:pPr>
        <w:spacing w:before="0" w:after="0" w:lineRule="exact" w:line="222"/>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4.2</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脂质体产品</w:t>
      </w:r>
    </w:p>
    <w:p w:rsidR="005A76FB" w:rsidRDefault="005A76FB" w:rsidP="005A76FB">
      <w:pPr>
        <w:spacing w:before="0" w:after="0" w:line="447" w:lineRule="exact"/>
        <w:ind w:firstLine="1896" w:left="-1354"/>
        <w:jc w:val="left"/>
        <w:rPr/>
      </w:pPr>
      <w:r>
        <w:rPr>
          <w:rFonts w:ascii="宋体" w:eastAsia="宋体" w:hAnsi="宋体" w:cs="宋体"/>
          <w:u w:val="none"/>
          <w:sz w:val="24"/>
          <w:position w:val="0"/>
          <w:color w:val="000000"/>
          <w:noProof w:val="true"/>
          <w:spacing w:val="-5"/>
          <w:w w:val="100"/>
        </w:rPr>
        <w:t>如果未脂质化的药物已经进行了充分研究，则没有必要对脂质体产品进行全面评</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价。如果可行，安全性评价应包括对脂质体产品的毒理学评价以及未脂质化药物和载</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体的有限评价（如毒理学试验中的单个组）。此处描述的原则也适用于其它类似的载</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体。合适情况下，应进行毒代动力学评价。如果可能，该评价应包括给药后脂质体产</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品和游离型化合物。</w:t>
      </w:r>
    </w:p>
    <w:p w:rsidR="005A76FB" w:rsidRDefault="005A76FB" w:rsidP="005A76FB">
      <w:pPr>
        <w:spacing w:before="0" w:after="0" w:lineRule="exact" w:line="223"/>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4.3</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5"/>
        </w:rPr>
        <w:t>药物代谢产物评价</w:t>
      </w:r>
    </w:p>
    <w:p w:rsidR="005A76FB" w:rsidRDefault="005A76FB" w:rsidP="005A76FB">
      <w:pPr>
        <w:spacing w:before="0" w:after="0" w:line="447" w:lineRule="exact"/>
        <w:ind w:firstLine="1896" w:left="-1354"/>
        <w:jc w:val="left"/>
        <w:rPr/>
      </w:pPr>
      <w:r>
        <w:rPr>
          <w:rFonts w:ascii="宋体" w:hAnsi="宋体" w:cs="宋体"/>
          <w:u w:val="none"/>
          <w:sz w:val="24"/>
          <w:position w:val="0"/>
          <w:color w:val="000000"/>
          <w:noProof w:val="true"/>
          <w:spacing w:val="-5"/>
          <w:w w:val="100"/>
        </w:rPr>
        <w:t>有些情况下，人体中鉴别的代谢产物未能在非临床研究中进行评价。对于晚期肿</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瘤患者，一般不必开展这些代谢物的单独评价。</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416" w:left="-1354"/>
        <w:jc w:val="left"/>
        <w:rPr/>
      </w:pPr>
      <w:r>
        <w:rPr>
          <w:rFonts w:ascii="Times New Roman" w:hAnsi="Times New Roman" w:cs="Times New Roman"/>
          <w:b/>
          <w:u w:val="none"/>
          <w:sz w:val="24"/>
          <w:position w:val="0"/>
          <w:color w:val="000000"/>
          <w:w w:val="95"/>
          <w:noProof w:val="true"/>
          <w:spacing w:val="-2"/>
        </w:rPr>
        <w:t>4.4</w:t>
      </w:r>
      <w:r>
        <w:rPr>
          <w:rFonts w:ascii="Calibri" w:hAnsi="Calibri" w:cs="Calibri"/>
          <w:b/>
          <w:u w:val="none"/>
          <w:sz w:val="24"/>
          <w:color w:val="000000"/>
          <w:noProof w:val="true"/>
          <w:spacing w:val="0"/>
          <w:w w:val="218"/>
        </w:rPr>
        <w:t> </w:t>
      </w:r>
      <w:r>
        <w:rPr>
          <w:rFonts w:ascii="宋体" w:eastAsia="宋体" w:hAnsi="宋体" w:cs="宋体"/>
          <w:b/>
          <w:u w:val="none"/>
          <w:sz w:val="24"/>
          <w:position w:val="0"/>
          <w:color w:val="000000"/>
          <w:w w:val="95"/>
          <w:noProof w:val="true"/>
          <w:spacing w:val="-6"/>
        </w:rPr>
        <w:t>杂质评价</w:t>
      </w:r>
    </w:p>
    <w:p w:rsidR="005A76FB" w:rsidRDefault="005A76FB" w:rsidP="005A76FB">
      <w:pPr>
        <w:spacing w:before="0" w:after="0" w:line="470" w:lineRule="exact"/>
        <w:ind w:firstLine="1896" w:left="-1354"/>
        <w:jc w:val="left"/>
        <w:rPr/>
      </w:pPr>
      <w:r>
        <w:rPr>
          <w:rFonts w:ascii="宋体" w:eastAsia="宋体" w:hAnsi="宋体" w:cs="宋体"/>
          <w:u w:val="none"/>
          <w:sz w:val="24"/>
          <w:position w:val="0"/>
          <w:color w:val="000000"/>
          <w:noProof w:val="true"/>
          <w:spacing w:val="-5"/>
          <w:w w:val="100"/>
        </w:rPr>
        <w:t>一般认为，杂质标准基于可以忽略的风险来建立，该内容在</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5"/>
          <w:w w:val="100"/>
        </w:rPr>
        <w:t> </w:t>
      </w:r>
      <w:r>
        <w:rPr>
          <w:rFonts w:ascii="Times New Roman" w:hAnsi="Times New Roman" w:cs="Times New Roman"/>
          <w:u w:val="none"/>
          <w:sz w:val="24"/>
          <w:position w:val="0"/>
          <w:color w:val="000000"/>
          <w:noProof w:val="true"/>
          <w:spacing w:val="-5"/>
          <w:w w:val="100"/>
        </w:rPr>
        <w:t>Q3A</w:t>
      </w:r>
      <w:r>
        <w:rPr>
          <w:rFonts w:ascii="宋体" w:eastAsia="宋体" w:hAnsi="宋体" w:cs="宋体"/>
          <w:u w:val="none"/>
          <w:sz w:val="24"/>
          <w:position w:val="0"/>
          <w:color w:val="000000"/>
          <w:noProof w:val="true"/>
          <w:spacing w:val="-5"/>
          <w:w w:val="100"/>
        </w:rPr>
        <w:t>和</w:t>
      </w:r>
      <w:r>
        <w:rPr>
          <w:rFonts w:ascii="Times New Roman" w:hAnsi="Times New Roman" w:cs="Times New Roman"/>
          <w:u w:val="none"/>
          <w:sz w:val="24"/>
          <w:position w:val="0"/>
          <w:color w:val="000000"/>
          <w:noProof w:val="true"/>
          <w:spacing w:val="-4"/>
          <w:w w:val="100"/>
        </w:rPr>
        <w:t>Q3B</w:t>
      </w:r>
      <w:r>
        <w:rPr>
          <w:rFonts w:ascii="宋体" w:eastAsia="宋体" w:hAnsi="宋体" w:cs="宋体"/>
          <w:u w:val="none"/>
          <w:sz w:val="24"/>
          <w:position w:val="0"/>
          <w:color w:val="000000"/>
          <w:noProof w:val="true"/>
          <w:spacing w:val="-5"/>
          <w:w w:val="100"/>
        </w:rPr>
        <w:t>进行</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了讨论。抗肿瘤药物可能接受超出</w:t>
      </w:r>
      <w:r>
        <w:rPr>
          <w:rFonts w:ascii="Times New Roman" w:hAnsi="Times New Roman" w:cs="Times New Roman"/>
          <w:u w:val="none"/>
          <w:sz w:val="24"/>
          <w:position w:val="0"/>
          <w:color w:val="000000"/>
          <w:noProof w:val="true"/>
          <w:spacing w:val="-3"/>
          <w:w w:val="100"/>
        </w:rPr>
        <w:t>ICH</w:t>
      </w:r>
      <w:r>
        <w:rPr>
          <w:rFonts w:ascii="宋体" w:eastAsia="宋体" w:hAnsi="宋体" w:cs="宋体"/>
          <w:u w:val="none"/>
          <w:sz w:val="24"/>
          <w:position w:val="0"/>
          <w:color w:val="000000"/>
          <w:noProof w:val="true"/>
          <w:spacing w:val="-5"/>
          <w:w w:val="100"/>
        </w:rPr>
        <w:t>指导原则中确定的杂质限度，应在上市申请时论</w:t>
      </w:r>
    </w:p>
    <w:p w:rsidR="005A76FB" w:rsidRDefault="005A76FB" w:rsidP="005A76FB">
      <w:pPr>
        <w:spacing w:before="0" w:after="0" w:line="452" w:lineRule="exact"/>
        <w:ind w:firstLine="1416" w:left="-1354"/>
        <w:jc w:val="left"/>
        <w:rPr/>
      </w:pPr>
      <w:r>
        <w:rPr>
          <w:rFonts w:ascii="宋体" w:hAnsi="宋体" w:cs="宋体"/>
          <w:u w:val="none"/>
          <w:sz w:val="24"/>
          <w:position w:val="0"/>
          <w:color w:val="000000"/>
          <w:noProof w:val="true"/>
          <w:spacing w:val="-5"/>
          <w:w w:val="100"/>
        </w:rPr>
        <w:t>证其合理性。这些论证需考虑所治疗的疾病和患者人群、母体药物特性（药理学特</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性、遗传毒性、致癌性等）、治疗周期和降低杂质对生产过程的影响。此外，定性评</w:t>
      </w:r>
    </w:p>
    <w:p w:rsidR="005A76FB" w:rsidRDefault="005A76FB" w:rsidP="005A76FB">
      <w:pPr>
        <w:spacing w:before="0" w:after="0" w:line="470" w:lineRule="exact"/>
        <w:ind w:firstLine="1416" w:left="-1354"/>
        <w:jc w:val="left"/>
        <w:rPr/>
      </w:pPr>
      <w:r>
        <w:rPr>
          <w:rFonts w:ascii="宋体" w:hAnsi="宋体" w:cs="宋体"/>
          <w:u w:val="none"/>
          <w:sz w:val="24"/>
          <w:position w:val="0"/>
          <w:color w:val="000000"/>
          <w:noProof w:val="true"/>
          <w:spacing w:val="-5"/>
          <w:w w:val="100"/>
        </w:rPr>
        <w:t>估可包括非临床试验中给药剂量或浓度水平与临床水平相关性的考虑。对于遗传毒性</w:t>
      </w:r>
    </w:p>
    <w:p w:rsidR="005A76FB" w:rsidRDefault="005A76FB" w:rsidP="005A76FB">
      <w:pPr>
        <w:spacing w:before="0" w:after="0" w:line="465" w:lineRule="exact"/>
        <w:ind w:firstLine="1416" w:left="-1354"/>
        <w:jc w:val="left"/>
        <w:rPr/>
      </w:pPr>
      <w:r>
        <w:rPr>
          <w:rFonts w:ascii="宋体" w:hAnsi="宋体" w:cs="宋体"/>
          <w:u w:val="none"/>
          <w:sz w:val="24"/>
          <w:position w:val="0"/>
          <w:color w:val="000000"/>
          <w:noProof w:val="true"/>
          <w:spacing w:val="-5"/>
          <w:w w:val="100"/>
        </w:rPr>
        <w:t>杂质，根据增加的肿瘤发生的终生性风险，已经有多种方法用于建立限度标准。对于</w:t>
      </w:r>
    </w:p>
    <w:p w:rsidR="005A76FB" w:rsidRDefault="005A76FB" w:rsidP="005A76FB">
      <w:pPr>
        <w:spacing w:before="0" w:after="0" w:line="470" w:lineRule="exact"/>
        <w:ind w:firstLine="1416" w:left="-1354"/>
        <w:jc w:val="left"/>
        <w:rPr/>
      </w:pPr>
      <w:r>
        <w:rPr>
          <w:rFonts w:ascii="宋体" w:eastAsia="宋体" w:hAnsi="宋体" w:cs="宋体"/>
          <w:u w:val="none"/>
          <w:sz w:val="24"/>
          <w:position w:val="0"/>
          <w:color w:val="000000"/>
          <w:noProof w:val="true"/>
          <w:spacing w:val="-5"/>
          <w:w w:val="100"/>
        </w:rPr>
        <w:t>拟用于晚期肿瘤患者的药物，上述限度可能不适用，论证时应考虑设置更高的杂质限</w:t>
      </w:r>
    </w:p>
    <w:p w:rsidR="005A76FB" w:rsidRDefault="005A76FB" w:rsidP="005A76FB">
      <w:pPr>
        <w:spacing w:before="0" w:after="0" w:lineRule="exact" w:line="218"/>
        <w:ind w:firstLine="1416" w:left="-1354"/>
        <w:rPr/>
      </w:pPr>
    </w:p>
    <w:p w:rsidR="005A76FB" w:rsidRDefault="005A76FB" w:rsidP="005A76FB">
      <w:pPr>
        <w:spacing w:before="0" w:after="0" w:line="265" w:lineRule="exact"/>
        <w:ind w:firstLine="1416" w:left="-1354"/>
        <w:jc w:val="left"/>
        <w:rPr/>
      </w:pPr>
      <w:r>
        <w:rPr>
          <w:rFonts w:ascii="宋体" w:hAnsi="宋体" w:cs="宋体"/>
          <w:u w:val="none"/>
          <w:sz w:val="24"/>
          <w:position w:val="0"/>
          <w:color w:val="000000"/>
          <w:noProof w:val="true"/>
          <w:spacing w:val="-5"/>
          <w:w w:val="100"/>
        </w:rPr>
        <w:t>度。如果杂质也是动物和</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0"/>
          <w:color w:val="000000"/>
          <w:noProof w:val="true"/>
          <w:spacing w:val="-5"/>
          <w:w w:val="100"/>
        </w:rPr>
        <w:t>或人体中的代谢物，通常是可接受的。</w:t>
      </w:r>
    </w:p>
    <w:p w:rsidR="005A76FB" w:rsidRDefault="005A76FB" w:rsidP="005A76FB">
      <w:pPr>
        <w:spacing w:before="0" w:after="0" w:line="470" w:lineRule="exact"/>
        <w:ind w:firstLine="1416" w:left="-1354"/>
        <w:jc w:val="left"/>
        <w:rPr/>
      </w:pPr>
      <w:r>
        <w:rPr>
          <w:rFonts w:ascii="Times New Roman" w:hAnsi="Times New Roman" w:cs="Times New Roman"/>
          <w:b/>
          <w:u w:val="none"/>
          <w:sz w:val="24"/>
          <w:position w:val="0"/>
          <w:color w:val="000000"/>
          <w:w w:val="95"/>
          <w:noProof w:val="true"/>
          <w:spacing w:val="-2"/>
        </w:rPr>
        <w:t>5.</w:t>
      </w:r>
      <w:r>
        <w:rPr>
          <w:rFonts w:ascii="Calibri" w:hAnsi="Calibri" w:cs="Calibri"/>
          <w:b/>
          <w:u w:val="none"/>
          <w:sz w:val="24"/>
          <w:color w:val="000000"/>
          <w:noProof w:val="true"/>
          <w:spacing w:val="0"/>
          <w:w w:val="221"/>
        </w:rPr>
        <w:t> </w:t>
      </w:r>
      <w:r>
        <w:rPr>
          <w:rFonts w:ascii="宋体" w:eastAsia="宋体" w:hAnsi="宋体" w:cs="宋体"/>
          <w:b/>
          <w:u w:val="none"/>
          <w:sz w:val="24"/>
          <w:position w:val="0"/>
          <w:color w:val="000000"/>
          <w:w w:val="95"/>
          <w:noProof w:val="true"/>
          <w:spacing w:val="-6"/>
        </w:rPr>
        <w:t>注释</w:t>
      </w:r>
    </w:p>
    <w:p w:rsidR="005A76FB" w:rsidRDefault="005A76FB" w:rsidP="005A76FB">
      <w:pPr>
        <w:spacing w:before="0" w:after="0" w:line="465" w:lineRule="exact"/>
        <w:ind w:firstLine="1416" w:left="-1354"/>
        <w:jc w:val="left"/>
        <w:rPr/>
      </w:pPr>
      <w:r>
        <w:rPr>
          <w:rFonts w:ascii="Times New Roman" w:hAnsi="Times New Roman" w:cs="Times New Roman"/>
          <w:u w:val="none"/>
          <w:sz w:val="24"/>
          <w:position w:val="0"/>
          <w:color w:val="000000"/>
          <w:noProof w:val="true"/>
          <w:spacing w:val="-2"/>
          <w:w w:val="100"/>
        </w:rPr>
        <w:t>1.</w:t>
      </w:r>
      <w:r>
        <w:rPr>
          <w:rFonts w:ascii="Calibri" w:hAnsi="Calibri" w:cs="Calibri"/>
          <w:u w:val="none"/>
          <w:sz w:val="24"/>
          <w:color w:val="000000"/>
          <w:noProof w:val="true"/>
          <w:spacing w:val="0"/>
          <w:w w:val="221"/>
        </w:rPr>
        <w:t> </w:t>
      </w:r>
      <w:r>
        <w:rPr>
          <w:rFonts w:ascii="宋体" w:eastAsia="宋体" w:hAnsi="宋体" w:cs="宋体"/>
          <w:u w:val="none"/>
          <w:sz w:val="24"/>
          <w:position w:val="0"/>
          <w:color w:val="000000"/>
          <w:noProof w:val="true"/>
          <w:spacing w:val="-5"/>
          <w:w w:val="100"/>
        </w:rPr>
        <w:t>对于非啮齿类动物研究，给药组通常至少包括</w:t>
      </w: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0"/>
          <w:color w:val="000000"/>
          <w:noProof w:val="true"/>
          <w:spacing w:val="-5"/>
          <w:w w:val="100"/>
        </w:rPr>
        <w:t>只动物</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性别</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组，必要时，另设</w:t>
      </w:r>
      <w:r>
        <w:rPr>
          <w:rFonts w:ascii="Times New Roman" w:hAnsi="Times New Roman" w:cs="Times New Roman"/>
          <w:u w:val="none"/>
          <w:sz w:val="24"/>
          <w:position w:val="0"/>
          <w:color w:val="000000"/>
          <w:noProof w:val="true"/>
          <w:spacing w:val="-3"/>
          <w:w w:val="100"/>
        </w:rPr>
        <w:t>2</w:t>
      </w:r>
      <w:r>
        <w:rPr>
          <w:rFonts w:ascii="宋体" w:eastAsia="宋体" w:hAnsi="宋体" w:cs="宋体"/>
          <w:u w:val="none"/>
          <w:sz w:val="24"/>
          <w:position w:val="0"/>
          <w:color w:val="000000"/>
          <w:noProof w:val="true"/>
          <w:spacing w:val="-5"/>
          <w:w w:val="100"/>
        </w:rPr>
        <w:t>只</w:t>
      </w:r>
      <w:r>
        <w:rPr>
          <w:rFonts w:ascii="Times New Roman" w:hAnsi="Times New Roman" w:cs="Times New Roman"/>
          <w:u w:val="none"/>
          <w:sz w:val="24"/>
          <w:position w:val="0"/>
          <w:color w:val="000000"/>
          <w:noProof w:val="true"/>
          <w:spacing w:val="-2"/>
          <w:w w:val="100"/>
        </w:rPr>
        <w:t>/</w:t>
      </w:r>
    </w:p>
    <w:p w:rsidR="005A76FB" w:rsidRDefault="005A76FB" w:rsidP="005A76FB">
      <w:pPr>
        <w:sectPr w:rsidR="005A76FB" w:rsidSect="005A76FB">
          <w:type w:val="continuous"/>
          <w:pgSz w:w="11904" w:h="16838"/>
          <w:pgMar w:top="950" w:right="995" w:bottom="710" w:left="1355" w:header="0" w:footer="0" w:gutter="0"/>
        </w:sectPr>
        <w:spacing w:before="0" w:after="0" w:line="338" w:lineRule="exact"/>
        <w:ind w:firstLine="10307" w:left="-1354"/>
        <w:jc w:val="left"/>
        <w:rPr/>
      </w:pPr>
      <w:r>
        <w:rPr>
          <w:rFonts w:ascii="Times New Roman" w:hAnsi="Times New Roman" w:cs="Times New Roman"/>
          <w:u w:val="none"/>
          <w:sz w:val="18"/>
          <w:position w:val="0"/>
          <w:color w:val="000000"/>
          <w:noProof w:val="true"/>
          <w:spacing w:val="-3"/>
          <w:w w:val="100"/>
        </w:rPr>
        <w:t>10</w:t>
      </w:r>
    </w:p>
    <w:bookmarkStart w:id="11" w:name="11"/>
    <w:bookmarkEnd w:id="11"/>
    <w:p w:rsidR="005A76FB" w:rsidRDefault="005A76FB" w:rsidP="005A76FB">
      <w:pPr>
        <w:spacing w:before="0" w:after="0" w:lineRule="exact" w:line="247"/>
        <w:ind/>
        <w:rPr/>
      </w:pPr>
    </w:p>
    <w:p w:rsidR="005A76FB" w:rsidRDefault="005A76FB" w:rsidP="005A76FB">
      <w:pPr>
        <w:widowControl/>
        <w:jc w:val="left"/>
        <w:rPr/>
        <w:sectPr w:rsidR="005A76FB" w:rsidSect="005A76FB">
          <w:type w:val="continuous"/>
          <w:pgSz w:w="11904" w:h="16839"/>
          <w:pgMar w:top="950" w:right="990" w:bottom="710" w:left="1350" w:header="0" w:footer="0" w:gutter="0"/>
          <w:docGrid w:type="lines" w:linePitch="312"/>
        </w:sectPr>
      </w:pPr>
    </w:p>
    <w:p w:rsidR="005A76FB" w:rsidRDefault="005A76FB" w:rsidP="005A76FB">
      <w:pPr>
        <w:spacing w:before="0" w:after="0" w:line="265" w:lineRule="exact"/>
        <w:ind w:left="66" w:firstLine="0"/>
        <w:jc w:val="left"/>
        <w:rPr/>
      </w:pPr>
      <w:r>
        <w:rPr>
          <w:rFonts w:ascii="宋体" w:eastAsia="宋体" w:hAnsi="宋体" w:cs="宋体"/>
          <w:u w:val="none"/>
          <w:sz w:val="24"/>
          <w:position w:val="0"/>
          <w:color w:val="000000"/>
          <w:noProof w:val="true"/>
          <w:spacing w:val="-5"/>
          <w:w w:val="100"/>
        </w:rPr>
        <w:t>性别</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0"/>
          <w:color w:val="000000"/>
          <w:noProof w:val="true"/>
          <w:spacing w:val="-5"/>
          <w:w w:val="100"/>
        </w:rPr>
        <w:t>组作为恢复组（见本文</w:t>
      </w:r>
      <w:r>
        <w:rPr>
          <w:rFonts w:ascii="Times New Roman" w:hAnsi="Times New Roman" w:cs="Times New Roman"/>
          <w:u w:val="none"/>
          <w:sz w:val="24"/>
          <w:position w:val="0"/>
          <w:color w:val="000000"/>
          <w:noProof w:val="true"/>
          <w:spacing w:val="-2"/>
          <w:w w:val="100"/>
        </w:rPr>
        <w:t>2.4</w:t>
      </w:r>
      <w:r>
        <w:rPr>
          <w:rFonts w:ascii="宋体" w:hAnsi="宋体" w:cs="宋体"/>
          <w:u w:val="none"/>
          <w:sz w:val="24"/>
          <w:position w:val="0"/>
          <w:color w:val="000000"/>
          <w:noProof w:val="true"/>
          <w:spacing w:val="-5"/>
          <w:w w:val="100"/>
        </w:rPr>
        <w:t>章节）。一般应采用两种性别的动物，如果采用特定的</w:t>
      </w:r>
    </w:p>
    <w:p w:rsidR="005A76FB" w:rsidRDefault="005A76FB" w:rsidP="005A76FB">
      <w:pPr>
        <w:spacing w:before="0" w:after="0" w:line="452" w:lineRule="exact"/>
        <w:ind w:firstLine="0" w:left="66"/>
        <w:jc w:val="left"/>
        <w:rPr/>
      </w:pPr>
      <w:r>
        <w:rPr>
          <w:rFonts w:ascii="宋体" w:hAnsi="宋体" w:cs="宋体"/>
          <w:u w:val="none"/>
          <w:sz w:val="24"/>
          <w:position w:val="0"/>
          <w:color w:val="000000"/>
          <w:noProof w:val="true"/>
          <w:spacing w:val="-5"/>
          <w:w w:val="100"/>
        </w:rPr>
        <w:t>单性别应证明其合理性。</w:t>
      </w:r>
    </w:p>
    <w:p w:rsidR="005A76FB" w:rsidRDefault="005A76FB" w:rsidP="005A76FB">
      <w:pPr>
        <w:spacing w:before="0" w:after="0" w:lineRule="exact" w:line="218"/>
        <w:ind w:firstLine="0" w:left="66"/>
        <w:rPr/>
      </w:pPr>
    </w:p>
    <w:p w:rsidR="005A76FB" w:rsidRDefault="005A76FB" w:rsidP="005A76FB">
      <w:pPr>
        <w:spacing w:before="0" w:after="0" w:line="265" w:lineRule="exact"/>
        <w:ind w:firstLine="0" w:left="66"/>
        <w:jc w:val="left"/>
        <w:rPr/>
      </w:pPr>
      <w:r>
        <w:rPr>
          <w:rFonts w:ascii="Times New Roman" w:hAnsi="Times New Roman" w:cs="Times New Roman"/>
          <w:u w:val="none"/>
          <w:sz w:val="24"/>
          <w:position w:val="0"/>
          <w:color w:val="000000"/>
          <w:noProof w:val="true"/>
          <w:spacing w:val="-2"/>
          <w:w w:val="100"/>
        </w:rPr>
        <w:t>2.</w:t>
      </w:r>
      <w:r>
        <w:rPr>
          <w:rFonts w:ascii="Calibri" w:hAnsi="Calibri" w:cs="Calibri"/>
          <w:u w:val="none"/>
          <w:sz w:val="24"/>
          <w:color w:val="000000"/>
          <w:noProof w:val="true"/>
          <w:spacing w:val="0"/>
          <w:w w:val="221"/>
        </w:rPr>
        <w:t> </w:t>
      </w:r>
      <w:r>
        <w:rPr>
          <w:rFonts w:ascii="宋体" w:eastAsia="宋体" w:hAnsi="宋体" w:cs="宋体"/>
          <w:u w:val="none"/>
          <w:sz w:val="24"/>
          <w:position w:val="0"/>
          <w:color w:val="000000"/>
          <w:noProof w:val="true"/>
          <w:spacing w:val="-5"/>
          <w:w w:val="100"/>
        </w:rPr>
        <w:t>对于多数小分子，常用方法是将啮齿类动物的</w:t>
      </w:r>
      <w:r>
        <w:rPr>
          <w:rFonts w:ascii="Times New Roman" w:hAnsi="Times New Roman" w:cs="Times New Roman"/>
          <w:u w:val="none"/>
          <w:sz w:val="24"/>
          <w:position w:val="0"/>
          <w:color w:val="000000"/>
          <w:noProof w:val="true"/>
          <w:spacing w:val="-3"/>
          <w:w w:val="100"/>
        </w:rPr>
        <w:t>STD</w:t>
      </w:r>
      <w:r>
        <w:rPr>
          <w:rFonts w:ascii="Calibri" w:hAnsi="Calibri" w:cs="Calibri"/>
          <w:u w:val="none"/>
          <w:sz w:val="24"/>
          <w:color w:val="000000"/>
          <w:noProof w:val="true"/>
          <w:spacing w:val="5"/>
          <w:w w:val="100"/>
        </w:rPr>
        <w:t> </w:t>
      </w:r>
      <w:r>
        <w:rPr>
          <w:rFonts w:ascii="Times New Roman" w:hAnsi="Times New Roman" w:cs="Times New Roman"/>
          <w:u w:val="none"/>
          <w:sz w:val="24"/>
          <w:position w:val="0"/>
          <w:color w:val="000000"/>
          <w:noProof w:val="true"/>
          <w:spacing w:val="-3"/>
          <w:w w:val="100"/>
        </w:rPr>
        <w:t>10</w:t>
      </w:r>
      <w:r>
        <w:rPr>
          <w:rFonts w:ascii="宋体" w:eastAsia="宋体" w:hAnsi="宋体" w:cs="宋体"/>
          <w:u w:val="none"/>
          <w:sz w:val="24"/>
          <w:position w:val="0"/>
          <w:color w:val="000000"/>
          <w:noProof w:val="true"/>
          <w:spacing w:val="-5"/>
          <w:w w:val="100"/>
        </w:rPr>
        <w:t>（</w:t>
      </w:r>
      <w:r>
        <w:rPr>
          <w:rFonts w:ascii="Times New Roman" w:hAnsi="Times New Roman" w:cs="Times New Roman"/>
          <w:u w:val="none"/>
          <w:sz w:val="24"/>
          <w:position w:val="0"/>
          <w:color w:val="000000"/>
          <w:noProof w:val="true"/>
          <w:spacing w:val="-3"/>
          <w:w w:val="100"/>
        </w:rPr>
        <w:t>10%</w:t>
      </w:r>
      <w:r>
        <w:rPr>
          <w:rFonts w:ascii="宋体" w:eastAsia="宋体" w:hAnsi="宋体" w:cs="宋体"/>
          <w:u w:val="none"/>
          <w:sz w:val="24"/>
          <w:position w:val="0"/>
          <w:color w:val="000000"/>
          <w:noProof w:val="true"/>
          <w:spacing w:val="-6"/>
          <w:w w:val="100"/>
        </w:rPr>
        <w:t>的动物出现严重毒性反</w:t>
      </w:r>
    </w:p>
    <w:p w:rsidR="005A76FB" w:rsidRDefault="005A76FB" w:rsidP="005A76FB">
      <w:pPr>
        <w:spacing w:before="0" w:after="0" w:line="470" w:lineRule="exact"/>
        <w:ind w:firstLine="0" w:left="66"/>
        <w:jc w:val="left"/>
        <w:rPr/>
      </w:pPr>
      <w:r>
        <w:rPr>
          <w:rFonts w:ascii="宋体" w:eastAsia="宋体" w:hAnsi="宋体" w:cs="宋体"/>
          <w:u w:val="none"/>
          <w:sz w:val="24"/>
          <w:position w:val="0"/>
          <w:color w:val="000000"/>
          <w:noProof w:val="true"/>
          <w:spacing w:val="-5"/>
          <w:w w:val="100"/>
        </w:rPr>
        <w:t>应剂量）的</w:t>
      </w:r>
      <w:r>
        <w:rPr>
          <w:rFonts w:ascii="Times New Roman" w:hAnsi="Times New Roman" w:cs="Times New Roman"/>
          <w:u w:val="none"/>
          <w:sz w:val="24"/>
          <w:position w:val="0"/>
          <w:color w:val="000000"/>
          <w:noProof w:val="true"/>
          <w:spacing w:val="-3"/>
          <w:w w:val="100"/>
        </w:rPr>
        <w:t>1/10</w:t>
      </w:r>
      <w:r>
        <w:rPr>
          <w:rFonts w:ascii="宋体" w:hAnsi="宋体" w:cs="宋体"/>
          <w:u w:val="none"/>
          <w:sz w:val="24"/>
          <w:position w:val="0"/>
          <w:color w:val="000000"/>
          <w:noProof w:val="true"/>
          <w:spacing w:val="-5"/>
          <w:w w:val="100"/>
        </w:rPr>
        <w:t>作为起始剂量。如果非啮齿类动物是最合适种属，则认为</w:t>
      </w:r>
      <w:r>
        <w:rPr>
          <w:rFonts w:ascii="Times New Roman" w:hAnsi="Times New Roman" w:cs="Times New Roman"/>
          <w:u w:val="none"/>
          <w:sz w:val="24"/>
          <w:position w:val="0"/>
          <w:color w:val="000000"/>
          <w:noProof w:val="true"/>
          <w:spacing w:val="-3"/>
          <w:w w:val="100"/>
        </w:rPr>
        <w:t>HNSTD</w:t>
      </w:r>
      <w:r>
        <w:rPr>
          <w:rFonts w:ascii="宋体" w:eastAsia="宋体" w:hAnsi="宋体" w:cs="宋体"/>
          <w:u w:val="none"/>
          <w:sz w:val="24"/>
          <w:position w:val="0"/>
          <w:color w:val="000000"/>
          <w:noProof w:val="true"/>
          <w:spacing w:val="-5"/>
          <w:w w:val="100"/>
        </w:rPr>
        <w:t>（最</w:t>
      </w:r>
    </w:p>
    <w:p w:rsidR="005A76FB" w:rsidRDefault="005A76FB" w:rsidP="005A76FB">
      <w:pPr>
        <w:spacing w:before="0" w:after="0" w:line="465" w:lineRule="exact"/>
        <w:ind w:firstLine="0" w:left="66"/>
        <w:jc w:val="left"/>
        <w:rPr/>
      </w:pPr>
      <w:r>
        <w:rPr>
          <w:rFonts w:ascii="宋体" w:eastAsia="宋体" w:hAnsi="宋体" w:cs="宋体"/>
          <w:u w:val="none"/>
          <w:sz w:val="24"/>
          <w:position w:val="0"/>
          <w:color w:val="000000"/>
          <w:noProof w:val="true"/>
          <w:spacing w:val="-5"/>
          <w:w w:val="100"/>
        </w:rPr>
        <w:t>高非严重毒性剂量）的</w:t>
      </w:r>
      <w:r>
        <w:rPr>
          <w:rFonts w:ascii="Times New Roman" w:hAnsi="Times New Roman" w:cs="Times New Roman"/>
          <w:u w:val="none"/>
          <w:sz w:val="24"/>
          <w:position w:val="0"/>
          <w:color w:val="000000"/>
          <w:noProof w:val="true"/>
          <w:spacing w:val="-2"/>
          <w:w w:val="100"/>
        </w:rPr>
        <w:t>1/6</w:t>
      </w:r>
      <w:r>
        <w:rPr>
          <w:rFonts w:ascii="宋体" w:hAnsi="宋体" w:cs="宋体"/>
          <w:u w:val="none"/>
          <w:sz w:val="24"/>
          <w:position w:val="0"/>
          <w:color w:val="000000"/>
          <w:noProof w:val="true"/>
          <w:spacing w:val="-5"/>
          <w:w w:val="100"/>
        </w:rPr>
        <w:t>是合适的起始剂量。</w:t>
      </w:r>
      <w:r>
        <w:rPr>
          <w:rFonts w:ascii="Times New Roman" w:hAnsi="Times New Roman" w:cs="Times New Roman"/>
          <w:u w:val="none"/>
          <w:sz w:val="24"/>
          <w:position w:val="0"/>
          <w:color w:val="000000"/>
          <w:noProof w:val="true"/>
          <w:spacing w:val="-3"/>
          <w:w w:val="100"/>
        </w:rPr>
        <w:t>HNSTD</w:t>
      </w:r>
      <w:r>
        <w:rPr>
          <w:rFonts w:ascii="宋体" w:hAnsi="宋体" w:cs="宋体"/>
          <w:u w:val="none"/>
          <w:sz w:val="24"/>
          <w:position w:val="0"/>
          <w:color w:val="000000"/>
          <w:noProof w:val="true"/>
          <w:spacing w:val="-5"/>
          <w:w w:val="100"/>
        </w:rPr>
        <w:t>定义为不会致死、导致危及生命</w:t>
      </w:r>
    </w:p>
    <w:p w:rsidR="005A76FB" w:rsidRDefault="005A76FB" w:rsidP="005A76FB">
      <w:pPr>
        <w:spacing w:before="0" w:after="0" w:line="452" w:lineRule="exact"/>
        <w:ind w:firstLine="0" w:left="66"/>
        <w:jc w:val="left"/>
        <w:rPr/>
      </w:pPr>
      <w:r>
        <w:rPr>
          <w:rFonts w:ascii="宋体" w:hAnsi="宋体" w:cs="宋体"/>
          <w:u w:val="none"/>
          <w:sz w:val="24"/>
          <w:position w:val="0"/>
          <w:color w:val="000000"/>
          <w:noProof w:val="true"/>
          <w:spacing w:val="-5"/>
          <w:w w:val="100"/>
        </w:rPr>
        <w:t>的毒性或不可逆结果的最高剂量水平。</w:t>
      </w:r>
    </w:p>
    <w:p w:rsidR="005A76FB" w:rsidRDefault="005A76FB" w:rsidP="005A76FB">
      <w:pPr>
        <w:widowControl/>
        <w:jc w:val="left"/>
        <w:rPr/>
        <w:sectPr w:rsidR="005A76FB" w:rsidSect="005A76FB">
          <w:type w:val="continuous"/>
          <w:pgSz w:w="11904" w:h="16839"/>
          <w:pgMar w:top="950" w:right="990" w:bottom="710" w:left="1350" w:header="0" w:footer="0" w:gutter="0"/>
          <w:cols w:num="1" w:equalWidth="0">
            <w:col w:w="9563" w:space="0"/>
          </w:cols>
          <w:docGrid w:type="lines" w:linePitch="312"/>
        </w:sect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240"/>
        <w:ind w:firstLine="0" w:left="66"/>
        <w:rPr/>
      </w:pPr>
    </w:p>
    <w:p w:rsidR="005A76FB" w:rsidRDefault="005A76FB" w:rsidP="005A76FB">
      <w:pPr>
        <w:spacing w:before="0" w:after="0" w:lineRule="exact" w:line="322"/>
        <w:ind w:firstLine="0" w:left="66"/>
        <w:rPr/>
      </w:pPr>
    </w:p>
    <w:p w:rsidR="005A76FB" w:rsidRDefault="005A76FB" w:rsidP="005A76FB">
      <w:pPr>
        <w:widowControl/>
        <w:jc w:val="left"/>
        <w:rPr/>
        <w:sectPr w:rsidR="005A76FB" w:rsidSect="005A76FB">
          <w:type w:val="continuous"/>
          <w:pgSz w:w="11904" w:h="16839"/>
          <w:pgMar w:top="950" w:right="990" w:bottom="710" w:left="1350" w:header="0" w:footer="0" w:gutter="0"/>
          <w:docGrid w:type="lines" w:linePitch="312"/>
        </w:sectPr>
      </w:pPr>
    </w:p>
    <w:p w:rsidR="005A76FB" w:rsidRDefault="005A76FB" w:rsidP="005A76FB">
      <w:pPr>
        <w:spacing w:before="0" w:after="0" w:line="202" w:lineRule="exact"/>
        <w:ind w:firstLine="0" w:left="8966"/>
        <w:jc w:val="left"/>
        <w:rPr/>
      </w:pPr>
      <w:r>
        <w:rPr>
          <w:rFonts w:ascii="Times New Roman" w:hAnsi="Times New Roman" w:cs="Times New Roman"/>
          <w:u w:val="none"/>
          <w:sz w:val="18"/>
          <w:position w:val="0"/>
          <w:color w:val="000000"/>
          <w:noProof w:val="true"/>
          <w:spacing w:val="-5"/>
          <w:w w:val="100"/>
        </w:rPr>
        <w:t>11</w:t>
      </w:r>
    </w:p>
    <w:sectPr w:rsidR="005A76FB" w:rsidSect="005A76FB">
      <w:type w:val="continuous"/>
      <w:pgSz w:w="11904" w:h="16839"/>
      <w:pgMar w:top="950" w:right="990" w:bottom="710" w:left="1350" w:header="0" w:footer="0" w:gutter="0"/>
      <w:cols w:num="1" w:equalWidth="0">
        <w:col w:w="9563"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10" Type="http://schemas.openxmlformats.org/officeDocument/2006/relationships/image" Target="media/picture10.jpeg" />
    <Relationship Id="rId11" Type="http://schemas.openxmlformats.org/officeDocument/2006/relationships/image" Target="media/picture11.jpeg" />
    <Relationship Id="rId12" Type="http://schemas.openxmlformats.org/officeDocument/2006/relationships/image" Target="media/picture12.jpeg" />
    <Relationship Id="rId13" Type="http://schemas.openxmlformats.org/officeDocument/2006/relationships/image" Target="media/picture13.jpeg" />
    <Relationship Id="rId14" Type="http://schemas.openxmlformats.org/officeDocument/2006/relationships/image" Target="media/picture14.jpeg" />
    <Relationship Id="rId15" Type="http://schemas.openxmlformats.org/officeDocument/2006/relationships/image" Target="media/picture15.jpeg"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 Id="rId5" Type="http://schemas.openxmlformats.org/officeDocument/2006/relationships/theme" Target="theme/theme1.xml" />
    <Relationship Id="rId6" Type="http://schemas.openxmlformats.org/officeDocument/2006/relationships/image" Target="media/picture6.jpeg" />
    <Relationship Id="rId7" Type="http://schemas.openxmlformats.org/officeDocument/2006/relationships/image" Target="media/picture7.jpeg" />
    <Relationship Id="rId8" Type="http://schemas.openxmlformats.org/officeDocument/2006/relationships/image" Target="media/picture8.jpeg" />
    <Relationship Id="rId9" Type="http://schemas.openxmlformats.org/officeDocument/2006/relationships/image" Target="media/picture9.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