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10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1"/>
          <w:pgMar w:top="506" w:right="1005" w:bottom="266" w:left="136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99" w:lineRule="exact"/>
        <w:ind w:left="8801" w:firstLine="0"/>
        <w:jc w:val="left"/>
        <w:rPr/>
      </w:pPr>
      <w:r>
        <w:rPr>
          <w:rFonts w:ascii="Times New Roman" w:hAnsi="Times New Roman" w:cs="Times New Roman"/>
          <w:b/>
          <w:u w:val="none"/>
          <w:sz w:val="30"/>
          <w:position w:val="0"/>
          <w:color w:val="000000"/>
          <w:w w:val="95"/>
          <w:noProof w:val="true"/>
          <w:spacing w:val="-3"/>
        </w:rPr>
        <w:t>S4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1"/>
          <w:pgMar w:top="506" w:right="1005" w:bottom="266" w:left="1365" w:header="0" w:footer="0" w:gutter="0"/>
          <w:cols w:num="1" w:equalWidth="0">
            <w:col w:w="953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8801" w:firstLine="0"/>
        <w:rPr/>
      </w:pPr>
    </w:p>
    <w:p w:rsidR="005A76FB" w:rsidRDefault="005A76FB" w:rsidP="005A76FB">
      <w:pPr>
        <w:spacing w:before="0" w:after="0" w:lineRule="exact" w:line="240"/>
        <w:ind w:left="8801" w:firstLine="0"/>
        <w:rPr/>
      </w:pPr>
    </w:p>
    <w:p w:rsidR="005A76FB" w:rsidRDefault="005A76FB" w:rsidP="005A76FB">
      <w:pPr>
        <w:spacing w:before="0" w:after="0" w:lineRule="exact" w:line="240"/>
        <w:ind w:left="8801" w:firstLine="0"/>
        <w:rPr/>
      </w:pPr>
    </w:p>
    <w:p w:rsidR="005A76FB" w:rsidRDefault="005A76FB" w:rsidP="005A76FB">
      <w:pPr>
        <w:spacing w:before="0" w:after="0" w:lineRule="exact" w:line="240"/>
        <w:ind w:left="8801" w:firstLine="0"/>
        <w:rPr/>
      </w:pPr>
    </w:p>
    <w:p w:rsidR="005A76FB" w:rsidRDefault="005A76FB" w:rsidP="005A76FB">
      <w:pPr>
        <w:spacing w:before="0" w:after="0" w:lineRule="exact" w:line="240"/>
        <w:ind w:left="8801" w:firstLine="0"/>
        <w:rPr/>
      </w:pPr>
    </w:p>
    <w:p w:rsidR="005A76FB" w:rsidRDefault="005A76FB" w:rsidP="005A76FB">
      <w:pPr>
        <w:spacing w:before="0" w:after="0" w:lineRule="exact" w:line="240"/>
        <w:ind w:left="8801" w:firstLine="0"/>
        <w:rPr/>
      </w:pPr>
    </w:p>
    <w:p w:rsidR="005A76FB" w:rsidRDefault="005A76FB" w:rsidP="005A76FB">
      <w:pPr>
        <w:spacing w:before="0" w:after="0" w:lineRule="exact" w:line="240"/>
        <w:ind w:left="8801" w:firstLine="0"/>
        <w:rPr/>
      </w:pPr>
    </w:p>
    <w:p w:rsidR="005A76FB" w:rsidRDefault="005A76FB" w:rsidP="005A76FB">
      <w:pPr>
        <w:spacing w:before="0" w:after="0" w:lineRule="exact" w:line="240"/>
        <w:ind w:left="8801" w:firstLine="0"/>
        <w:rPr/>
      </w:pPr>
    </w:p>
    <w:p w:rsidR="005A76FB" w:rsidRDefault="005A76FB" w:rsidP="005A76FB">
      <w:pPr>
        <w:spacing w:before="0" w:after="0" w:lineRule="exact" w:line="240"/>
        <w:ind w:left="8801" w:firstLine="0"/>
        <w:rPr/>
      </w:pPr>
    </w:p>
    <w:p w:rsidR="005A76FB" w:rsidRDefault="005A76FB" w:rsidP="005A76FB">
      <w:pPr>
        <w:spacing w:before="0" w:after="0" w:lineRule="exact" w:line="240"/>
        <w:ind w:left="8801" w:firstLine="0"/>
        <w:rPr/>
      </w:pPr>
    </w:p>
    <w:p w:rsidR="005A76FB" w:rsidRDefault="005A76FB" w:rsidP="005A76FB">
      <w:pPr>
        <w:spacing w:before="0" w:after="0" w:lineRule="exact" w:line="240"/>
        <w:ind w:left="8801" w:firstLine="0"/>
        <w:rPr/>
      </w:pPr>
    </w:p>
    <w:p w:rsidR="005A76FB" w:rsidRDefault="005A76FB" w:rsidP="005A76FB">
      <w:pPr>
        <w:spacing w:before="0" w:after="0" w:lineRule="exact" w:line="264"/>
        <w:ind w:left="8801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1"/>
          <w:pgMar w:top="506" w:right="1005" w:bottom="266" w:left="136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01" w:lineRule="exact"/>
        <w:ind w:firstLine="1553" w:left="1165"/>
        <w:jc w:val="left"/>
        <w:rPr/>
      </w:pPr>
      <w:r>
        <w:rPr>
          <w:rFonts w:ascii="宋体" w:eastAsia="宋体" w:hAnsi="宋体" w:cs="宋体"/>
          <w:b/>
          <w:u w:val="none"/>
          <w:sz w:val="30"/>
          <w:position w:val="0"/>
          <w:color w:val="000000"/>
          <w:w w:val="95"/>
          <w:noProof w:val="true"/>
          <w:spacing w:val="-3"/>
        </w:rPr>
        <w:t>人用药品注册技术要求国际协调会</w:t>
      </w:r>
    </w:p>
    <w:p w:rsidR="005A76FB" w:rsidRDefault="005A76FB" w:rsidP="005A76FB">
      <w:pPr>
        <w:spacing w:before="0" w:after="0" w:lineRule="exact" w:line="240"/>
        <w:ind w:firstLine="1553" w:left="1165"/>
        <w:rPr/>
      </w:pPr>
    </w:p>
    <w:p w:rsidR="005A76FB" w:rsidRDefault="005A76FB" w:rsidP="005A76FB">
      <w:pPr>
        <w:spacing w:before="0" w:after="0" w:line="515" w:lineRule="exact"/>
        <w:ind w:firstLine="2328" w:left="1165"/>
        <w:jc w:val="left"/>
        <w:rPr/>
      </w:pPr>
      <w:r>
        <w:rPr>
          <w:rFonts w:ascii="Times New Roman" w:hAnsi="Times New Roman" w:cs="Times New Roman"/>
          <w:b/>
          <w:u w:val="none"/>
          <w:sz w:val="30"/>
          <w:position w:val="0"/>
          <w:color w:val="000000"/>
          <w:w w:val="95"/>
          <w:noProof w:val="true"/>
          <w:spacing w:val="-4"/>
        </w:rPr>
        <w:t>ICH</w:t>
      </w:r>
      <w:r>
        <w:rPr>
          <w:rFonts w:ascii="宋体" w:eastAsia="宋体" w:hAnsi="宋体" w:cs="宋体"/>
          <w:b/>
          <w:u w:val="none"/>
          <w:sz w:val="30"/>
          <w:position w:val="4.85437012"/>
          <w:color w:val="000000"/>
          <w:w w:val="95"/>
          <w:noProof w:val="true"/>
          <w:spacing w:val="-4"/>
        </w:rPr>
        <w:t>三方协调指导原则</w:t>
      </w:r>
    </w:p>
    <w:p w:rsidR="005A76FB" w:rsidRDefault="005A76FB" w:rsidP="005A76FB">
      <w:pPr>
        <w:spacing w:before="0" w:after="0" w:lineRule="exact" w:line="240"/>
        <w:ind w:firstLine="2328" w:left="1165"/>
        <w:rPr/>
      </w:pPr>
    </w:p>
    <w:p w:rsidR="005A76FB" w:rsidRDefault="005A76FB" w:rsidP="005A76FB">
      <w:pPr>
        <w:spacing w:before="0" w:after="0" w:line="544" w:lineRule="exact"/>
        <w:ind w:firstLine="0" w:left="1165"/>
        <w:jc w:val="left"/>
        <w:rPr/>
      </w:pP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动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物</w:t>
      </w:r>
      <w:r>
        <w:rPr>
          <w:rFonts w:ascii="Times New Roman" w:hAnsi="Times New Roman" w:cs="Times New Roman"/>
          <w:b/>
          <w:u w:val="none"/>
          <w:sz w:val="36"/>
          <w:position w:val="0"/>
          <w:color w:val="000000"/>
          <w:w w:val="95"/>
          <w:noProof w:val="true"/>
          <w:spacing w:val="-2"/>
        </w:rPr>
        <w:t>(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啮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齿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类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和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非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啮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齿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类</w:t>
      </w:r>
      <w:r>
        <w:rPr>
          <w:rFonts w:ascii="Times New Roman" w:hAnsi="Times New Roman" w:cs="Times New Roman"/>
          <w:b/>
          <w:u w:val="none"/>
          <w:sz w:val="36"/>
          <w:position w:val="0"/>
          <w:color w:val="000000"/>
          <w:w w:val="95"/>
          <w:noProof w:val="true"/>
          <w:spacing w:val="-2"/>
        </w:rPr>
        <w:t>)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慢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性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毒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性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试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验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的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期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限</w:t>
      </w:r>
    </w:p>
    <w:p w:rsidR="005A76FB" w:rsidRDefault="005A76FB" w:rsidP="005A76FB">
      <w:pPr>
        <w:spacing w:before="0" w:after="0" w:lineRule="exact" w:line="240"/>
        <w:ind w:firstLine="0" w:left="1165"/>
        <w:rPr/>
      </w:pPr>
    </w:p>
    <w:p w:rsidR="005A76FB" w:rsidRDefault="005A76FB" w:rsidP="005A76FB">
      <w:pPr>
        <w:spacing w:before="0" w:after="0" w:line="475" w:lineRule="exact"/>
        <w:ind w:firstLine="2416" w:left="1165"/>
        <w:jc w:val="left"/>
        <w:rPr/>
      </w:pPr>
      <w:r>
        <w:rPr>
          <w:rFonts w:ascii="宋体" w:eastAsia="宋体" w:hAnsi="宋体" w:cs="宋体"/>
          <w:b/>
          <w:u w:val="none"/>
          <w:sz w:val="28"/>
          <w:position w:val="4.52423096"/>
          <w:color w:val="000000"/>
          <w:w w:val="95"/>
          <w:noProof w:val="true"/>
          <w:spacing w:val="-5"/>
        </w:rPr>
        <w:t>现行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4"/>
        </w:rPr>
        <w:t>ICH</w:t>
      </w:r>
      <w:r>
        <w:rPr>
          <w:rFonts w:ascii="宋体" w:eastAsia="宋体" w:hAnsi="宋体" w:cs="宋体"/>
          <w:b/>
          <w:u w:val="none"/>
          <w:sz w:val="28"/>
          <w:position w:val="4.52423096"/>
          <w:color w:val="000000"/>
          <w:w w:val="95"/>
          <w:noProof w:val="true"/>
          <w:spacing w:val="-5"/>
        </w:rPr>
        <w:t>进程第四阶段</w:t>
      </w:r>
    </w:p>
    <w:p w:rsidR="005A76FB" w:rsidRDefault="005A76FB" w:rsidP="005A76FB">
      <w:pPr>
        <w:spacing w:before="0" w:after="0" w:lineRule="exact" w:line="240"/>
        <w:ind w:firstLine="2416" w:left="1165"/>
        <w:rPr/>
      </w:pPr>
    </w:p>
    <w:p w:rsidR="005A76FB" w:rsidRDefault="005A76FB" w:rsidP="005A76FB">
      <w:pPr>
        <w:spacing w:before="0" w:after="0" w:line="425" w:lineRule="exact"/>
        <w:ind w:firstLine="2961" w:left="1165"/>
        <w:jc w:val="left"/>
        <w:rPr/>
      </w:pP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1998</w:t>
      </w:r>
      <w:r>
        <w:rPr>
          <w:rFonts w:ascii="宋体" w:eastAsia="宋体" w:hAnsi="宋体" w:cs="宋体"/>
          <w:b/>
          <w:u w:val="none"/>
          <w:sz w:val="28"/>
          <w:position w:val="4.52423096"/>
          <w:color w:val="000000"/>
          <w:w w:val="95"/>
          <w:noProof w:val="true"/>
          <w:spacing w:val="-6"/>
        </w:rPr>
        <w:t>年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9</w:t>
      </w:r>
      <w:r>
        <w:rPr>
          <w:rFonts w:ascii="宋体" w:eastAsia="宋体" w:hAnsi="宋体" w:cs="宋体"/>
          <w:b/>
          <w:u w:val="none"/>
          <w:sz w:val="28"/>
          <w:position w:val="4.52423096"/>
          <w:color w:val="000000"/>
          <w:w w:val="95"/>
          <w:noProof w:val="true"/>
          <w:spacing w:val="-6"/>
        </w:rPr>
        <w:t>月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2</w:t>
      </w:r>
      <w:r>
        <w:rPr>
          <w:rFonts w:ascii="宋体" w:eastAsia="宋体" w:hAnsi="宋体" w:cs="宋体"/>
          <w:b/>
          <w:u w:val="none"/>
          <w:sz w:val="28"/>
          <w:position w:val="4.52423096"/>
          <w:color w:val="000000"/>
          <w:w w:val="95"/>
          <w:noProof w:val="true"/>
          <w:spacing w:val="-6"/>
        </w:rPr>
        <w:t>日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1"/>
          <w:pgMar w:top="506" w:right="1005" w:bottom="266" w:left="1365" w:header="0" w:footer="0" w:gutter="0"/>
          <w:cols w:num="1" w:equalWidth="0">
            <w:col w:w="953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2961" w:left="1165"/>
        <w:rPr/>
      </w:pPr>
    </w:p>
    <w:p w:rsidR="005A76FB" w:rsidRDefault="005A76FB" w:rsidP="005A76FB">
      <w:pPr>
        <w:spacing w:before="0" w:after="0" w:lineRule="exact" w:line="240"/>
        <w:ind w:firstLine="2961" w:left="1165"/>
        <w:rPr/>
      </w:pPr>
    </w:p>
    <w:p w:rsidR="005A76FB" w:rsidRDefault="005A76FB" w:rsidP="005A76FB">
      <w:pPr>
        <w:spacing w:before="0" w:after="0" w:lineRule="exact" w:line="240"/>
        <w:ind w:firstLine="2961" w:left="1165"/>
        <w:rPr/>
      </w:pPr>
    </w:p>
    <w:p w:rsidR="005A76FB" w:rsidRDefault="005A76FB" w:rsidP="005A76FB">
      <w:pPr>
        <w:spacing w:before="0" w:after="0" w:lineRule="exact" w:line="240"/>
        <w:ind w:firstLine="2961" w:left="1165"/>
        <w:rPr/>
      </w:pPr>
    </w:p>
    <w:p w:rsidR="005A76FB" w:rsidRDefault="005A76FB" w:rsidP="005A76FB">
      <w:pPr>
        <w:spacing w:before="0" w:after="0" w:lineRule="exact" w:line="240"/>
        <w:ind w:firstLine="2961" w:left="1165"/>
        <w:rPr/>
      </w:pPr>
    </w:p>
    <w:p w:rsidR="005A76FB" w:rsidRDefault="005A76FB" w:rsidP="005A76FB">
      <w:pPr>
        <w:spacing w:before="0" w:after="0" w:lineRule="exact" w:line="240"/>
        <w:ind w:firstLine="2961" w:left="1165"/>
        <w:rPr/>
      </w:pPr>
    </w:p>
    <w:p w:rsidR="005A76FB" w:rsidRDefault="005A76FB" w:rsidP="005A76FB">
      <w:pPr>
        <w:spacing w:before="0" w:after="0" w:lineRule="exact" w:line="240"/>
        <w:ind w:firstLine="2961" w:left="1165"/>
        <w:rPr/>
      </w:pPr>
    </w:p>
    <w:p w:rsidR="005A76FB" w:rsidRDefault="005A76FB" w:rsidP="005A76FB">
      <w:pPr>
        <w:spacing w:before="0" w:after="0" w:lineRule="exact" w:line="240"/>
        <w:ind w:firstLine="2961" w:left="1165"/>
        <w:rPr/>
      </w:pPr>
    </w:p>
    <w:p w:rsidR="005A76FB" w:rsidRDefault="005A76FB" w:rsidP="005A76FB">
      <w:pPr>
        <w:spacing w:before="0" w:after="0" w:lineRule="exact" w:line="240"/>
        <w:ind w:firstLine="2961" w:left="1165"/>
        <w:rPr/>
      </w:pPr>
    </w:p>
    <w:p w:rsidR="005A76FB" w:rsidRDefault="005A76FB" w:rsidP="005A76FB">
      <w:pPr>
        <w:spacing w:before="0" w:after="0" w:lineRule="exact" w:line="240"/>
        <w:ind w:firstLine="2961" w:left="1165"/>
        <w:rPr/>
      </w:pPr>
    </w:p>
    <w:p w:rsidR="005A76FB" w:rsidRDefault="005A76FB" w:rsidP="005A76FB">
      <w:pPr>
        <w:spacing w:before="0" w:after="0" w:lineRule="exact" w:line="339"/>
        <w:ind w:firstLine="2961" w:left="116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1"/>
          <w:pgMar w:top="506" w:right="1005" w:bottom="266" w:left="136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20" w:lineRule="exact"/>
        <w:ind w:firstLine="414" w:left="335"/>
        <w:jc w:val="left"/>
        <w:rPr/>
      </w:pP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本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指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导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原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则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由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相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应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的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ICH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专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家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小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组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，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根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据</w:t>
      </w:r>
      <w:r>
        <w:rPr>
          <w:rFonts w:ascii="Times New Roman" w:hAnsi="Times New Roman" w:cs="Times New Roman"/>
          <w:b/>
          <w:u w:val="none"/>
          <w:sz w:val="24"/>
          <w:position w:val="0"/>
          <w:color w:val="000000"/>
          <w:w w:val="95"/>
          <w:noProof w:val="true"/>
          <w:spacing w:val="-4"/>
        </w:rPr>
        <w:t>ICH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程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序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制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定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，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并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经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各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国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管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理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部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门</w:t>
      </w:r>
      <w:r>
        <w:rPr>
          <w:rFonts w:ascii="宋体" w:eastAsia="宋体" w:hAnsi="宋体" w:cs="宋体"/>
          <w:b/>
          <w:u w:val="none"/>
          <w:sz w:val="24"/>
          <w:position w:val="3.88342285"/>
          <w:color w:val="000000"/>
          <w:w w:val="95"/>
          <w:noProof w:val="true"/>
          <w:spacing w:val="-6"/>
        </w:rPr>
        <w:t>协</w:t>
      </w:r>
    </w:p>
    <w:p w:rsidR="005A76FB" w:rsidRDefault="005A76FB" w:rsidP="005A76FB">
      <w:pPr>
        <w:spacing w:before="0" w:after="0" w:line="429" w:lineRule="exact"/>
        <w:ind w:firstLine="0" w:left="335"/>
        <w:jc w:val="left"/>
        <w:rPr/>
      </w:pPr>
      <w:r>
        <w:rPr>
          <w:rFonts w:ascii="宋体" w:hAnsi="宋体" w:cs="宋体"/>
          <w:b/>
          <w:u w:val="none"/>
          <w:sz w:val="24"/>
          <w:position w:val="0"/>
          <w:color w:val="000000"/>
          <w:w w:val="95"/>
          <w:noProof w:val="true"/>
          <w:spacing w:val="-3"/>
        </w:rPr>
        <w:t>商，已进入第四阶段，被推荐给欧盟、日本和美国管理部门采用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1"/>
          <w:pgMar w:top="506" w:right="1005" w:bottom="266" w:left="1365" w:header="0" w:footer="0" w:gutter="0"/>
          <w:cols w:num="1" w:equalWidth="0">
            <w:col w:w="953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240"/>
        <w:ind w:firstLine="0" w:left="335"/>
        <w:rPr/>
      </w:pPr>
    </w:p>
    <w:p w:rsidR="005A76FB" w:rsidRDefault="005A76FB" w:rsidP="005A76FB">
      <w:pPr>
        <w:spacing w:before="0" w:after="0" w:lineRule="exact" w:line="457"/>
        <w:ind w:firstLine="0" w:left="33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1"/>
          <w:pgMar w:top="506" w:right="1005" w:bottom="266" w:left="136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31" w:lineRule="exact"/>
        <w:ind w:firstLine="0" w:left="4665"/>
        <w:jc w:val="left"/>
        <w:rPr/>
      </w:pPr>
      <w:r>
        <w:rPr>
          <w:rFonts w:ascii="Arial" w:hAnsi="Arial" w:cs="Arial"/>
          <w:u w:val="none"/>
          <w:sz w:val="22"/>
          <w:position w:val="0"/>
          <w:color w:val="000000"/>
          <w:noProof w:val="true"/>
          <w:spacing w:val="-3"/>
          <w:w w:val="100"/>
        </w:rPr>
        <w:t>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1"/>
          <w:pgMar w:top="506" w:right="1005" w:bottom="266" w:left="1365" w:header="0" w:footer="0" w:gutter="0"/>
          <w:cols w:num="1" w:equalWidth="0">
            <w:col w:w="9537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="344" w:lineRule="exact"/>
        <w:ind w:left="60" w:firstLine="0"/>
        <w:jc w:val="left"/>
        <w:rPr/>
      </w:pPr>
      <w:r>
        <w:rPr>
          <w:noProof/>
        </w:rPr>
        <w:pict>
          <v:shapetype id="polygon4" coordsize="44204,72" o:spt="12" path="m 0,36 l 0,36,44204,36e">
            <v:stroke joinstyle="miter"/>
          </v:shapetype>
          <v:shape id="WS_polygon4" type="polygon4" style="position:absolute;left:0;text-align:left;margin-left:69.3757pt;margin-top:42.4306pt;width:442.038pt;height:0.719116pt;z-index:4;mso-position-horizontal-relative:page;mso-position-vertical-relative:page" strokecolor="#000000" strokeweight="1pt">
            <v:fill opacity="0"/>
          </v:shape>
        </w:pict>
      </w:r>
      <w:r>
        <w:rPr>
          <w:rFonts w:ascii="Arial" w:hAnsi="Arial" w:cs="Arial"/>
          <w:i/>
          <w:u w:val="none"/>
          <w:sz w:val="20"/>
          <w:position w:val="0"/>
          <w:color w:val="000000"/>
          <w:noProof w:val="true"/>
          <w:spacing w:val="7"/>
          <w:w w:val="100"/>
        </w:rPr>
        <w:t>Duration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i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i/>
          <w:u w:val="none"/>
          <w:sz w:val="20"/>
          <w:position w:val="0"/>
          <w:color w:val="000000"/>
          <w:noProof w:val="true"/>
          <w:spacing w:val="3"/>
          <w:w w:val="100"/>
        </w:rPr>
        <w:t>Chronic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i/>
          <w:u w:val="none"/>
          <w:sz w:val="20"/>
          <w:position w:val="0"/>
          <w:color w:val="000000"/>
          <w:noProof w:val="true"/>
          <w:spacing w:val="3"/>
          <w:w w:val="100"/>
        </w:rPr>
        <w:t>Toxicity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i/>
          <w:u w:val="none"/>
          <w:sz w:val="20"/>
          <w:position w:val="0"/>
          <w:color w:val="000000"/>
          <w:noProof w:val="true"/>
          <w:spacing w:val="0"/>
          <w:w w:val="100"/>
        </w:rPr>
        <w:t>Testing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i/>
          <w:u w:val="none"/>
          <w:sz w:val="20"/>
          <w:position w:val="0"/>
          <w:color w:val="000000"/>
          <w:noProof w:val="true"/>
          <w:spacing w:val="13"/>
          <w:w w:val="100"/>
        </w:rPr>
        <w:t>in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i/>
          <w:u w:val="none"/>
          <w:sz w:val="20"/>
          <w:position w:val="0"/>
          <w:color w:val="000000"/>
          <w:noProof w:val="true"/>
          <w:spacing w:val="6"/>
          <w:w w:val="100"/>
        </w:rPr>
        <w:t>Animals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0"/>
          <w:pgMar w:top="483" w:right="997" w:bottom="243" w:left="1357" w:header="0" w:footer="0" w:gutter="0"/>
          <w:cols w:num="1" w:equalWidth="0">
            <w:col w:w="955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93"/>
        <w:ind w:left="60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0"/>
          <w:pgMar w:top="483" w:right="997" w:bottom="243" w:left="135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79" w:lineRule="exact"/>
        <w:ind w:firstLine="830" w:left="60"/>
        <w:jc w:val="left"/>
        <w:rPr/>
      </w:pP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动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物</w:t>
      </w:r>
      <w:r>
        <w:rPr>
          <w:rFonts w:ascii="Times New Roman" w:hAnsi="Times New Roman" w:cs="Times New Roman"/>
          <w:b/>
          <w:u w:val="none"/>
          <w:sz w:val="36"/>
          <w:position w:val="0"/>
          <w:color w:val="000000"/>
          <w:w w:val="95"/>
          <w:noProof w:val="true"/>
          <w:spacing w:val="-2"/>
        </w:rPr>
        <w:t>(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啮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齿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类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和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非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啮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齿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类</w:t>
      </w:r>
      <w:r>
        <w:rPr>
          <w:rFonts w:ascii="Times New Roman" w:hAnsi="Times New Roman" w:cs="Times New Roman"/>
          <w:b/>
          <w:u w:val="none"/>
          <w:sz w:val="36"/>
          <w:position w:val="0"/>
          <w:color w:val="000000"/>
          <w:w w:val="95"/>
          <w:noProof w:val="true"/>
          <w:spacing w:val="-2"/>
        </w:rPr>
        <w:t>)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慢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性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毒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性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试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验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的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期</w:t>
      </w:r>
      <w:r>
        <w:rPr>
          <w:rFonts w:ascii="宋体" w:eastAsia="宋体" w:hAnsi="宋体" w:cs="宋体"/>
          <w:b/>
          <w:u w:val="none"/>
          <w:sz w:val="36"/>
          <w:position w:val="5.82519531"/>
          <w:color w:val="000000"/>
          <w:w w:val="95"/>
          <w:noProof w:val="true"/>
          <w:spacing w:val="-6"/>
        </w:rPr>
        <w:t>限</w:t>
      </w:r>
    </w:p>
    <w:p w:rsidR="005A76FB" w:rsidRDefault="005A76FB" w:rsidP="005A76FB">
      <w:pPr>
        <w:spacing w:before="0" w:after="0" w:lineRule="exact" w:line="240"/>
        <w:ind w:firstLine="830" w:left="60"/>
        <w:rPr/>
      </w:pPr>
    </w:p>
    <w:p w:rsidR="005A76FB" w:rsidRDefault="005A76FB" w:rsidP="005A76FB">
      <w:pPr>
        <w:spacing w:before="0" w:after="0" w:lineRule="exact" w:line="240"/>
        <w:ind w:firstLine="830" w:left="60"/>
        <w:rPr/>
      </w:pPr>
    </w:p>
    <w:p w:rsidR="005A76FB" w:rsidRDefault="005A76FB" w:rsidP="005A76FB">
      <w:pPr>
        <w:spacing w:before="0" w:after="0" w:lineRule="exact" w:line="474"/>
        <w:ind w:firstLine="830" w:left="60"/>
        <w:rPr/>
      </w:pPr>
    </w:p>
    <w:p w:rsidR="005A76FB" w:rsidRDefault="005A76FB" w:rsidP="005A76FB">
      <w:pPr>
        <w:spacing w:before="0" w:after="0" w:line="372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1</w:t>
      </w:r>
      <w:r>
        <w:rPr>
          <w:rFonts w:ascii="宋体" w:eastAsia="宋体" w:hAnsi="宋体" w:cs="宋体"/>
          <w:b/>
          <w:u w:val="none"/>
          <w:sz w:val="28"/>
          <w:position w:val="4.52423096"/>
          <w:color w:val="000000"/>
          <w:w w:val="95"/>
          <w:noProof w:val="true"/>
          <w:spacing w:val="-6"/>
        </w:rPr>
        <w:t>．</w:t>
      </w:r>
      <w:r>
        <w:rPr>
          <w:rFonts w:ascii="宋体" w:eastAsia="宋体" w:hAnsi="宋体" w:cs="宋体"/>
          <w:b/>
          <w:u w:val="none"/>
          <w:sz w:val="28"/>
          <w:position w:val="4.52423096"/>
          <w:color w:val="000000"/>
          <w:w w:val="95"/>
          <w:noProof w:val="true"/>
          <w:spacing w:val="-6"/>
        </w:rPr>
        <w:t>目</w:t>
      </w:r>
      <w:r>
        <w:rPr>
          <w:rFonts w:ascii="宋体" w:eastAsia="宋体" w:hAnsi="宋体" w:cs="宋体"/>
          <w:b/>
          <w:u w:val="none"/>
          <w:sz w:val="28"/>
          <w:position w:val="4.52423096"/>
          <w:color w:val="000000"/>
          <w:w w:val="95"/>
          <w:noProof w:val="true"/>
          <w:spacing w:val="-6"/>
        </w:rPr>
        <w:t>的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80" w:lineRule="exact"/>
        <w:ind w:firstLine="56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本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指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导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则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目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于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阐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明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啮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齿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类和非啮齿类动物慢性毒性试验的</w:t>
      </w:r>
    </w:p>
    <w:p w:rsidR="005A76FB" w:rsidRDefault="005A76FB" w:rsidP="005A76FB">
      <w:pPr>
        <w:spacing w:before="0" w:after="0" w:lineRule="exact" w:line="224"/>
        <w:ind w:firstLine="560" w:left="60"/>
        <w:rPr/>
      </w:pPr>
    </w:p>
    <w:p w:rsidR="005A76FB" w:rsidRDefault="005A76FB" w:rsidP="005A76FB">
      <w:pPr>
        <w:spacing w:before="0" w:after="0" w:line="367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4.52423096"/>
          <w:color w:val="000000"/>
          <w:noProof w:val="true"/>
          <w:spacing w:val="-3"/>
          <w:w w:val="100"/>
        </w:rPr>
        <w:t>某些技术要求。由于指导原则无法律效力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,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4"/>
          <w:w w:val="100"/>
        </w:rPr>
        <w:t>申报者可不完全遵守本指导原</w:t>
      </w:r>
    </w:p>
    <w:p w:rsidR="005A76FB" w:rsidRDefault="005A76FB" w:rsidP="005A76FB">
      <w:pPr>
        <w:spacing w:before="0" w:after="0" w:lineRule="exact" w:line="220"/>
        <w:ind w:firstLine="0" w:left="60"/>
        <w:rPr/>
      </w:pPr>
    </w:p>
    <w:p w:rsidR="005A76FB" w:rsidRDefault="005A76FB" w:rsidP="005A76FB">
      <w:pPr>
        <w:spacing w:before="0" w:after="0" w:line="280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则，但应说明其所用方法的合理性。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70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2</w:t>
      </w:r>
      <w:r>
        <w:rPr>
          <w:rFonts w:ascii="宋体" w:eastAsia="宋体" w:hAnsi="宋体" w:cs="宋体"/>
          <w:b/>
          <w:u w:val="none"/>
          <w:sz w:val="28"/>
          <w:position w:val="4.52423096"/>
          <w:color w:val="000000"/>
          <w:w w:val="95"/>
          <w:noProof w:val="true"/>
          <w:spacing w:val="-6"/>
        </w:rPr>
        <w:t>．</w:t>
      </w:r>
      <w:r>
        <w:rPr>
          <w:rFonts w:ascii="宋体" w:eastAsia="宋体" w:hAnsi="宋体" w:cs="宋体"/>
          <w:b/>
          <w:u w:val="none"/>
          <w:sz w:val="28"/>
          <w:position w:val="4.52423096"/>
          <w:color w:val="000000"/>
          <w:w w:val="95"/>
          <w:noProof w:val="true"/>
          <w:spacing w:val="-6"/>
        </w:rPr>
        <w:t>适</w:t>
      </w:r>
      <w:r>
        <w:rPr>
          <w:rFonts w:ascii="宋体" w:eastAsia="宋体" w:hAnsi="宋体" w:cs="宋体"/>
          <w:b/>
          <w:u w:val="none"/>
          <w:sz w:val="28"/>
          <w:position w:val="4.52423096"/>
          <w:color w:val="000000"/>
          <w:w w:val="95"/>
          <w:noProof w:val="true"/>
          <w:spacing w:val="-6"/>
        </w:rPr>
        <w:t>用</w:t>
      </w:r>
      <w:r>
        <w:rPr>
          <w:rFonts w:ascii="宋体" w:eastAsia="宋体" w:hAnsi="宋体" w:cs="宋体"/>
          <w:b/>
          <w:u w:val="none"/>
          <w:sz w:val="28"/>
          <w:position w:val="4.52423096"/>
          <w:color w:val="000000"/>
          <w:w w:val="95"/>
          <w:noProof w:val="true"/>
          <w:spacing w:val="-6"/>
        </w:rPr>
        <w:t>范</w:t>
      </w:r>
      <w:r>
        <w:rPr>
          <w:rFonts w:ascii="宋体" w:eastAsia="宋体" w:hAnsi="宋体" w:cs="宋体"/>
          <w:b/>
          <w:u w:val="none"/>
          <w:sz w:val="28"/>
          <w:position w:val="4.52423096"/>
          <w:color w:val="000000"/>
          <w:w w:val="95"/>
          <w:noProof w:val="true"/>
          <w:spacing w:val="-6"/>
        </w:rPr>
        <w:t>围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25" w:lineRule="exact"/>
        <w:ind w:firstLine="560" w:left="60"/>
        <w:jc w:val="left"/>
        <w:rPr/>
      </w:pPr>
      <w:r>
        <w:rPr>
          <w:rFonts w:ascii="宋体" w:hAnsi="宋体" w:cs="宋体"/>
          <w:u w:val="none"/>
          <w:sz w:val="28"/>
          <w:position w:val="4.52429199"/>
          <w:color w:val="000000"/>
          <w:noProof w:val="true"/>
          <w:spacing w:val="-3"/>
          <w:w w:val="100"/>
        </w:rPr>
        <w:t>本指导原则适用于所有药品（单克隆抗体、重组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4"/>
          <w:w w:val="100"/>
        </w:rPr>
        <w:t>DNA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3"/>
          <w:w w:val="100"/>
        </w:rPr>
        <w:t>蛋白等适用于</w:t>
      </w:r>
    </w:p>
    <w:p w:rsidR="005A76FB" w:rsidRDefault="005A76FB" w:rsidP="005A76FB">
      <w:pPr>
        <w:spacing w:before="0" w:after="0" w:line="545" w:lineRule="exact"/>
        <w:ind w:firstLine="0" w:left="60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“ICH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4"/>
          <w:w w:val="100"/>
        </w:rPr>
        <w:t>生物技术产品安全性研究指导原则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”</w:t>
      </w:r>
      <w:r>
        <w:rPr>
          <w:rFonts w:ascii="宋体" w:hAnsi="宋体" w:cs="宋体"/>
          <w:u w:val="none"/>
          <w:sz w:val="28"/>
          <w:position w:val="4.52429199"/>
          <w:color w:val="000000"/>
          <w:noProof w:val="true"/>
          <w:spacing w:val="-4"/>
          <w:w w:val="100"/>
        </w:rPr>
        <w:t>的药品除外）。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25" w:lineRule="exact"/>
        <w:ind w:firstLine="0" w:left="60"/>
        <w:jc w:val="left"/>
        <w:rPr/>
      </w:pP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3</w:t>
      </w:r>
      <w:r>
        <w:rPr>
          <w:rFonts w:ascii="宋体" w:eastAsia="宋体" w:hAnsi="宋体" w:cs="宋体"/>
          <w:b/>
          <w:u w:val="none"/>
          <w:sz w:val="28"/>
          <w:position w:val="4.52429199"/>
          <w:color w:val="000000"/>
          <w:w w:val="95"/>
          <w:noProof w:val="true"/>
          <w:spacing w:val="-6"/>
        </w:rPr>
        <w:t>．</w:t>
      </w:r>
      <w:r>
        <w:rPr>
          <w:rFonts w:ascii="宋体" w:eastAsia="宋体" w:hAnsi="宋体" w:cs="宋体"/>
          <w:b/>
          <w:u w:val="none"/>
          <w:sz w:val="28"/>
          <w:position w:val="4.52429199"/>
          <w:color w:val="000000"/>
          <w:w w:val="95"/>
          <w:noProof w:val="true"/>
          <w:spacing w:val="-6"/>
        </w:rPr>
        <w:t>背</w:t>
      </w:r>
      <w:r>
        <w:rPr>
          <w:rFonts w:ascii="宋体" w:eastAsia="宋体" w:hAnsi="宋体" w:cs="宋体"/>
          <w:b/>
          <w:u w:val="none"/>
          <w:sz w:val="28"/>
          <w:position w:val="4.52429199"/>
          <w:color w:val="000000"/>
          <w:w w:val="95"/>
          <w:noProof w:val="true"/>
          <w:spacing w:val="-6"/>
        </w:rPr>
        <w:t>景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25" w:lineRule="exact"/>
        <w:ind w:firstLine="56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在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1991</w:t>
      </w:r>
      <w:r>
        <w:rPr>
          <w:rFonts w:ascii="宋体" w:hAnsi="宋体" w:cs="宋体"/>
          <w:u w:val="none"/>
          <w:sz w:val="28"/>
          <w:position w:val="4.52429199"/>
          <w:color w:val="000000"/>
          <w:noProof w:val="true"/>
          <w:spacing w:val="-1"/>
          <w:w w:val="100"/>
        </w:rPr>
        <w:t>年举行的第一届国际协调会议回顾了欧盟、日本和美国在慢</w:t>
      </w:r>
    </w:p>
    <w:p w:rsidR="005A76FB" w:rsidRDefault="005A76FB" w:rsidP="005A76FB">
      <w:pPr>
        <w:spacing w:before="0" w:after="0" w:lineRule="exact" w:line="220"/>
        <w:ind w:firstLine="560" w:left="60"/>
        <w:rPr/>
      </w:pPr>
    </w:p>
    <w:p w:rsidR="005A76FB" w:rsidRDefault="005A76FB" w:rsidP="005A76FB">
      <w:pPr>
        <w:spacing w:before="0" w:after="0" w:line="28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性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毒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性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面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进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的工作。与会者对啮齿类动物慢性毒性试验的试验</w:t>
      </w:r>
    </w:p>
    <w:p w:rsidR="005A76FB" w:rsidRDefault="005A76FB" w:rsidP="005A76FB">
      <w:pPr>
        <w:spacing w:before="0" w:after="0" w:lineRule="exact" w:line="224"/>
        <w:ind w:firstLine="0" w:left="60"/>
        <w:rPr/>
      </w:pPr>
    </w:p>
    <w:p w:rsidR="005A76FB" w:rsidRDefault="005A76FB" w:rsidP="005A76FB">
      <w:pPr>
        <w:spacing w:before="0" w:after="0" w:line="367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2"/>
          <w:w w:val="100"/>
        </w:rPr>
        <w:t>期限达成了科学共识，确定其试验期限为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宋体" w:hAnsi="宋体" w:cs="宋体"/>
          <w:u w:val="none"/>
          <w:sz w:val="28"/>
          <w:position w:val="4.52429199"/>
          <w:color w:val="000000"/>
          <w:noProof w:val="true"/>
          <w:spacing w:val="1"/>
          <w:w w:val="100"/>
        </w:rPr>
        <w:t>个月。但对非啮齿类动物慢</w:t>
      </w:r>
    </w:p>
    <w:p w:rsidR="005A76FB" w:rsidRDefault="005A76FB" w:rsidP="005A76FB">
      <w:pPr>
        <w:spacing w:before="0" w:after="0" w:lineRule="exact" w:line="220"/>
        <w:ind w:firstLine="0" w:left="60"/>
        <w:rPr/>
      </w:pPr>
    </w:p>
    <w:p w:rsidR="005A76FB" w:rsidRDefault="005A76FB" w:rsidP="005A76FB">
      <w:pPr>
        <w:spacing w:before="0" w:after="0" w:line="28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性毒性试验的期限，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却存在不同看法。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0"/>
          <w:pgMar w:top="483" w:right="997" w:bottom="243" w:left="1357" w:header="0" w:footer="0" w:gutter="0"/>
          <w:cols w:num="1" w:equalWidth="0">
            <w:col w:w="955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464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0"/>
          <w:pgMar w:top="483" w:right="997" w:bottom="243" w:left="135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31" w:lineRule="exact"/>
        <w:ind w:firstLine="0" w:left="4389"/>
        <w:jc w:val="left"/>
        <w:rPr/>
      </w:pPr>
      <w:r>
        <w:rPr>
          <w:rFonts w:ascii="Arial" w:hAnsi="Arial" w:cs="Arial"/>
          <w:u w:val="none"/>
          <w:sz w:val="22"/>
          <w:position w:val="0"/>
          <w:color w:val="000000"/>
          <w:noProof w:val="true"/>
          <w:spacing w:val="-3"/>
          <w:w w:val="100"/>
        </w:rPr>
        <w:t>2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0"/>
          <w:pgMar w:top="483" w:right="997" w:bottom="243" w:left="1357" w:header="0" w:footer="0" w:gutter="0"/>
          <w:cols w:num="1" w:equalWidth="0">
            <w:col w:w="9553" w:space="0"/>
          </w:cols>
          <w:docGrid w:type="lines" w:linePitch="312"/>
        </w:sectPr>
      </w:pPr>
    </w:p>
    <w:bookmarkStart w:id="3" w:name="3"/>
    <w:bookmarkEnd w:id="3"/>
    <w:p w:rsidR="005A76FB" w:rsidRDefault="005A76FB" w:rsidP="005A76FB">
      <w:pPr>
        <w:spacing w:before="0" w:after="0" w:line="340" w:lineRule="exact"/>
        <w:ind w:left="-1364" w:firstLine="2261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由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于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没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有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确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定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协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调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一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致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期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限，制药公司在开发新药时，要进</w:t>
      </w:r>
    </w:p>
    <w:p w:rsidR="005A76FB" w:rsidRDefault="005A76FB" w:rsidP="005A76FB">
      <w:pPr>
        <w:spacing w:before="0" w:after="0" w:lineRule="exact" w:line="224"/>
        <w:ind w:left="-1364" w:firstLine="2261"/>
        <w:rPr/>
      </w:pPr>
    </w:p>
    <w:p w:rsidR="005A76FB" w:rsidRDefault="005A76FB" w:rsidP="005A76FB">
      <w:pPr>
        <w:spacing w:before="0" w:after="0" w:line="367" w:lineRule="exact"/>
        <w:ind w:firstLine="1700" w:left="-1364"/>
        <w:jc w:val="left"/>
        <w:rPr/>
      </w:pPr>
      <w:r>
        <w:rPr>
          <w:rFonts w:ascii="宋体" w:eastAsia="宋体" w:hAnsi="宋体" w:cs="宋体"/>
          <w:u w:val="none"/>
          <w:sz w:val="28"/>
          <w:position w:val="4.52424622"/>
          <w:color w:val="000000"/>
          <w:noProof w:val="true"/>
          <w:spacing w:val="-3"/>
          <w:w w:val="100"/>
        </w:rPr>
        <w:t>行部分重复试验以同时满足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宋体" w:eastAsia="宋体" w:hAnsi="宋体" w:cs="宋体"/>
          <w:u w:val="none"/>
          <w:sz w:val="28"/>
          <w:position w:val="4.52424622"/>
          <w:color w:val="000000"/>
          <w:noProof w:val="true"/>
          <w:spacing w:val="-4"/>
          <w:w w:val="100"/>
        </w:rPr>
        <w:t>个月和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12</w:t>
      </w:r>
      <w:r>
        <w:rPr>
          <w:rFonts w:ascii="宋体" w:hAnsi="宋体" w:cs="宋体"/>
          <w:u w:val="none"/>
          <w:sz w:val="28"/>
          <w:position w:val="4.52424622"/>
          <w:color w:val="000000"/>
          <w:noProof w:val="true"/>
          <w:spacing w:val="-4"/>
          <w:w w:val="100"/>
        </w:rPr>
        <w:t>个月的试验期限的要求。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ICH</w:t>
      </w:r>
      <w:r>
        <w:rPr>
          <w:rFonts w:ascii="宋体" w:eastAsia="宋体" w:hAnsi="宋体" w:cs="宋体"/>
          <w:u w:val="none"/>
          <w:sz w:val="28"/>
          <w:position w:val="4.52424622"/>
          <w:color w:val="000000"/>
          <w:noProof w:val="true"/>
          <w:spacing w:val="-5"/>
          <w:w w:val="100"/>
        </w:rPr>
        <w:t>的目</w:t>
      </w:r>
    </w:p>
    <w:p w:rsidR="005A76FB" w:rsidRDefault="005A76FB" w:rsidP="005A76FB">
      <w:pPr>
        <w:spacing w:before="0" w:after="0" w:lineRule="exact" w:line="220"/>
        <w:ind w:firstLine="1700" w:left="-1364"/>
        <w:rPr/>
      </w:pPr>
    </w:p>
    <w:p w:rsidR="005A76FB" w:rsidRDefault="005A76FB" w:rsidP="005A76FB">
      <w:pPr>
        <w:spacing w:before="0" w:after="0" w:line="280" w:lineRule="exact"/>
        <w:ind w:firstLine="1700" w:left="-1364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保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障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公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众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健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康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的同时，尽量避免新药开发过程中的重复试验，以</w:t>
      </w:r>
    </w:p>
    <w:p w:rsidR="005A76FB" w:rsidRDefault="005A76FB" w:rsidP="005A76FB">
      <w:pPr>
        <w:spacing w:before="0" w:after="0" w:lineRule="exact" w:line="224"/>
        <w:ind w:firstLine="1700" w:left="-1364"/>
        <w:rPr/>
      </w:pPr>
    </w:p>
    <w:p w:rsidR="005A76FB" w:rsidRDefault="005A76FB" w:rsidP="005A76FB">
      <w:pPr>
        <w:spacing w:before="0" w:after="0" w:line="367" w:lineRule="exact"/>
        <w:ind w:firstLine="1700" w:left="-1364"/>
        <w:jc w:val="left"/>
        <w:rPr/>
      </w:pPr>
      <w:r>
        <w:rPr>
          <w:rFonts w:ascii="宋体" w:hAnsi="宋体" w:cs="宋体"/>
          <w:u w:val="none"/>
          <w:sz w:val="28"/>
          <w:position w:val="4.52426147"/>
          <w:color w:val="000000"/>
          <w:noProof w:val="true"/>
          <w:spacing w:val="-4"/>
          <w:w w:val="100"/>
        </w:rPr>
        <w:t>求更有效地利用试验材料、实验动物和人力资源。因此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,</w:t>
      </w:r>
      <w:r>
        <w:rPr>
          <w:rFonts w:ascii="宋体" w:hAnsi="宋体" w:cs="宋体"/>
          <w:u w:val="none"/>
          <w:sz w:val="28"/>
          <w:position w:val="4.52426147"/>
          <w:color w:val="000000"/>
          <w:noProof w:val="true"/>
          <w:spacing w:val="-4"/>
          <w:w w:val="100"/>
        </w:rPr>
        <w:t>欧盟、日本、美</w:t>
      </w:r>
    </w:p>
    <w:p w:rsidR="005A76FB" w:rsidRDefault="005A76FB" w:rsidP="005A76FB">
      <w:pPr>
        <w:spacing w:before="0" w:after="0" w:lineRule="exact" w:line="220"/>
        <w:ind w:firstLine="1700" w:left="-1364"/>
        <w:rPr/>
      </w:pPr>
    </w:p>
    <w:p w:rsidR="005A76FB" w:rsidRDefault="005A76FB" w:rsidP="005A76FB">
      <w:pPr>
        <w:spacing w:before="0" w:after="0" w:line="280" w:lineRule="exact"/>
        <w:ind w:firstLine="1701" w:left="-1364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国三方对慢性毒性试验的期限进行了进一步的科学评价。</w:t>
      </w:r>
    </w:p>
    <w:p w:rsidR="005A76FB" w:rsidRDefault="005A76FB" w:rsidP="005A76FB">
      <w:pPr>
        <w:spacing w:before="0" w:after="0" w:lineRule="exact" w:line="240"/>
        <w:ind w:firstLine="1701" w:left="-1364"/>
        <w:rPr/>
      </w:pPr>
    </w:p>
    <w:p w:rsidR="005A76FB" w:rsidRDefault="005A76FB" w:rsidP="005A76FB">
      <w:pPr>
        <w:spacing w:before="0" w:after="0" w:line="425" w:lineRule="exact"/>
        <w:ind w:firstLine="2261" w:left="-1364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欧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盟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、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日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本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、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美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国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三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药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品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册管理当局分别对有关资料进行了</w:t>
      </w:r>
    </w:p>
    <w:p w:rsidR="005A76FB" w:rsidRDefault="005A76FB" w:rsidP="005A76FB">
      <w:pPr>
        <w:spacing w:before="0" w:after="0" w:lineRule="exact" w:line="240"/>
        <w:ind w:firstLine="2261" w:left="-1364"/>
        <w:rPr/>
      </w:pPr>
    </w:p>
    <w:p w:rsidR="005A76FB" w:rsidRDefault="005A76FB" w:rsidP="005A76FB">
      <w:pPr>
        <w:spacing w:before="0" w:after="0" w:line="305" w:lineRule="exact"/>
        <w:ind w:firstLine="1701" w:left="-1364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回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顾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性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分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析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以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决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定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能否确定一个统一的非啮齿类动物慢性毒性试验期</w:t>
      </w:r>
    </w:p>
    <w:p w:rsidR="005A76FB" w:rsidRDefault="005A76FB" w:rsidP="005A76FB">
      <w:pPr>
        <w:spacing w:before="0" w:after="0" w:lineRule="exact" w:line="224"/>
        <w:ind w:firstLine="1701" w:left="-1364"/>
        <w:rPr/>
      </w:pPr>
    </w:p>
    <w:p w:rsidR="005A76FB" w:rsidRDefault="005A76FB" w:rsidP="005A76FB">
      <w:pPr>
        <w:spacing w:before="0" w:after="0" w:line="367" w:lineRule="exact"/>
        <w:ind w:firstLine="1701" w:left="-1364"/>
        <w:jc w:val="left"/>
        <w:rPr/>
      </w:pP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限</w:t>
      </w:r>
      <w:r>
        <w:rPr>
          <w:rFonts w:ascii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。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分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析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结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果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显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示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，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有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必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要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对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16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项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个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月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与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12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个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月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验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数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据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进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行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更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详</w:t>
      </w:r>
    </w:p>
    <w:p w:rsidR="005A76FB" w:rsidRDefault="005A76FB" w:rsidP="005A76FB">
      <w:pPr>
        <w:spacing w:before="0" w:after="0" w:lineRule="exact" w:line="220"/>
        <w:ind w:firstLine="1701" w:left="-1364"/>
        <w:rPr/>
      </w:pPr>
    </w:p>
    <w:p w:rsidR="005A76FB" w:rsidRDefault="005A76FB" w:rsidP="005A76FB">
      <w:pPr>
        <w:spacing w:before="0" w:after="0" w:line="280" w:lineRule="exact"/>
        <w:ind w:firstLine="1701" w:left="-1364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细的比较和评价。此项工作由三方的资深专家共同完成。</w:t>
      </w:r>
    </w:p>
    <w:p w:rsidR="005A76FB" w:rsidRDefault="005A76FB" w:rsidP="005A76FB">
      <w:pPr>
        <w:spacing w:before="0" w:after="0" w:lineRule="exact" w:line="240"/>
        <w:ind w:firstLine="1701" w:left="-1364"/>
        <w:rPr/>
      </w:pPr>
    </w:p>
    <w:p w:rsidR="005A76FB" w:rsidRDefault="005A76FB" w:rsidP="005A76FB">
      <w:pPr>
        <w:spacing w:before="0" w:after="0" w:line="470" w:lineRule="exact"/>
        <w:ind w:firstLine="2261" w:left="-1364"/>
        <w:jc w:val="left"/>
        <w:rPr/>
      </w:pP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在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三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方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协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调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会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议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上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，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有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些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12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个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月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验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结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果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与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个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月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相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比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，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没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有</w:t>
      </w:r>
    </w:p>
    <w:p w:rsidR="005A76FB" w:rsidRDefault="005A76FB" w:rsidP="005A76FB">
      <w:pPr>
        <w:spacing w:before="0" w:after="0" w:lineRule="exact" w:line="220"/>
        <w:ind w:firstLine="2261" w:left="-1364"/>
        <w:rPr/>
      </w:pPr>
    </w:p>
    <w:p w:rsidR="005A76FB" w:rsidRDefault="005A76FB" w:rsidP="005A76FB">
      <w:pPr>
        <w:spacing w:before="0" w:after="0" w:line="280" w:lineRule="exact"/>
        <w:ind w:firstLine="1700" w:left="-1364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新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发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现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于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另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外一些试验资料，管理当局间对试验的设计和实施</w:t>
      </w:r>
    </w:p>
    <w:p w:rsidR="005A76FB" w:rsidRDefault="005A76FB" w:rsidP="005A76FB">
      <w:pPr>
        <w:spacing w:before="0" w:after="0" w:lineRule="exact" w:line="224"/>
        <w:ind w:firstLine="1700" w:left="-1364"/>
        <w:rPr/>
      </w:pPr>
    </w:p>
    <w:p w:rsidR="005A76FB" w:rsidRDefault="005A76FB" w:rsidP="005A76FB">
      <w:pPr>
        <w:spacing w:before="0" w:after="0" w:line="367" w:lineRule="exact"/>
        <w:ind w:firstLine="1701" w:left="-1364"/>
        <w:jc w:val="left"/>
        <w:rPr/>
      </w:pP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2"/>
          <w:w w:val="100"/>
        </w:rPr>
        <w:t>是否具有可比性存有异议，因而难以判断试验期限的不同是否是导致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6</w:t>
      </w:r>
    </w:p>
    <w:p w:rsidR="005A76FB" w:rsidRDefault="005A76FB" w:rsidP="005A76FB">
      <w:pPr>
        <w:spacing w:before="0" w:after="0" w:line="545" w:lineRule="exact"/>
        <w:ind w:firstLine="1701" w:left="-1364"/>
        <w:jc w:val="left"/>
        <w:rPr/>
      </w:pP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个月和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12</w:t>
      </w:r>
      <w:r>
        <w:rPr>
          <w:rFonts w:ascii="宋体" w:hAnsi="宋体" w:cs="宋体"/>
          <w:u w:val="none"/>
          <w:sz w:val="28"/>
          <w:position w:val="4.52423096"/>
          <w:color w:val="000000"/>
          <w:noProof w:val="true"/>
          <w:spacing w:val="-4"/>
          <w:w w:val="100"/>
        </w:rPr>
        <w:t>个月试验结果不同的原因。</w:t>
      </w:r>
    </w:p>
    <w:p w:rsidR="005A76FB" w:rsidRDefault="005A76FB" w:rsidP="005A76FB">
      <w:pPr>
        <w:spacing w:before="0" w:after="0" w:lineRule="exact" w:line="240"/>
        <w:ind w:firstLine="1701" w:left="-1364"/>
        <w:rPr/>
      </w:pPr>
    </w:p>
    <w:p w:rsidR="005A76FB" w:rsidRDefault="005A76FB" w:rsidP="005A76FB">
      <w:pPr>
        <w:spacing w:before="0" w:after="0" w:line="425" w:lineRule="exact"/>
        <w:ind w:firstLine="2261" w:left="-1364"/>
        <w:jc w:val="left"/>
        <w:rPr/>
      </w:pP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在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许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多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资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料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中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12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个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月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验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中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所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观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察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到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结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果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在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个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月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验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中</w:t>
      </w:r>
    </w:p>
    <w:p w:rsidR="005A76FB" w:rsidRDefault="005A76FB" w:rsidP="005A76FB">
      <w:pPr>
        <w:spacing w:before="0" w:after="0" w:line="545" w:lineRule="exact"/>
        <w:ind w:firstLine="1701" w:left="-1364"/>
        <w:jc w:val="left"/>
        <w:rPr/>
      </w:pP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并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未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出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现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，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这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些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12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个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月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验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结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果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应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该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或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可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以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在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9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个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月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验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中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观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察</w:t>
      </w:r>
    </w:p>
    <w:p w:rsidR="005A76FB" w:rsidRDefault="005A76FB" w:rsidP="005A76FB">
      <w:pPr>
        <w:spacing w:before="0" w:after="0" w:lineRule="exact" w:line="220"/>
        <w:ind w:firstLine="1701" w:left="-1364"/>
        <w:rPr/>
      </w:pPr>
    </w:p>
    <w:p w:rsidR="005A76FB" w:rsidRDefault="005A76FB" w:rsidP="005A76FB">
      <w:pPr>
        <w:spacing w:before="0" w:after="0" w:line="280" w:lineRule="exact"/>
        <w:ind w:firstLine="1701" w:left="-1364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到</w:t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协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调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会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上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各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对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不同期限试验中观察到的不一致的结果表达了不同</w:t>
      </w:r>
    </w:p>
    <w:p w:rsidR="005A76FB" w:rsidRDefault="005A76FB" w:rsidP="005A76FB">
      <w:pPr>
        <w:spacing w:before="0" w:after="0" w:lineRule="exact" w:line="240"/>
        <w:ind w:firstLine="1701" w:left="-1364"/>
        <w:rPr/>
      </w:pPr>
    </w:p>
    <w:p w:rsidR="005A76FB" w:rsidRDefault="005A76FB" w:rsidP="005A76FB">
      <w:pPr>
        <w:spacing w:before="0" w:after="0" w:line="305" w:lineRule="exact"/>
        <w:ind w:firstLine="1701" w:left="-1364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程度的关注，但对于这些结果的临床相关性没有达成一致意见。</w:t>
      </w:r>
    </w:p>
    <w:p w:rsidR="005A76FB" w:rsidRDefault="005A76FB" w:rsidP="005A76FB">
      <w:pPr>
        <w:spacing w:before="0" w:after="0" w:lineRule="exact" w:line="240"/>
        <w:ind w:firstLine="1701" w:left="-1364"/>
        <w:rPr/>
      </w:pPr>
    </w:p>
    <w:p w:rsidR="005A76FB" w:rsidRDefault="005A76FB" w:rsidP="005A76FB">
      <w:pPr>
        <w:spacing w:before="0" w:after="0" w:line="470" w:lineRule="exact"/>
        <w:ind w:firstLine="2261" w:left="-1364"/>
        <w:jc w:val="left"/>
        <w:rPr/>
      </w:pP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通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常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认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为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没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有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必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要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进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行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期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限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为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12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个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月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慢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性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毒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性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验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，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短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于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9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个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月</w:t>
      </w:r>
    </w:p>
    <w:p w:rsidR="005A76FB" w:rsidRDefault="005A76FB" w:rsidP="005A76FB">
      <w:pPr>
        <w:spacing w:before="0" w:after="0" w:lineRule="exact" w:line="220"/>
        <w:ind w:firstLine="2261" w:left="-1364"/>
        <w:rPr/>
      </w:pPr>
    </w:p>
    <w:p w:rsidR="005A76FB" w:rsidRDefault="005A76FB" w:rsidP="005A76FB">
      <w:pPr>
        <w:spacing w:before="0" w:after="0" w:line="280" w:lineRule="exact"/>
        <w:ind w:firstLine="1701" w:left="-1364"/>
        <w:jc w:val="left"/>
        <w:rPr/>
      </w:pP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的试验可能已足够说明问题。</w:t>
      </w:r>
    </w:p>
    <w:p w:rsidR="005A76FB" w:rsidRDefault="005A76FB" w:rsidP="005A76FB">
      <w:pPr>
        <w:spacing w:before="0" w:after="0" w:lineRule="exact" w:line="240"/>
        <w:ind w:firstLine="1701" w:left="-1364"/>
        <w:rPr/>
      </w:pPr>
    </w:p>
    <w:p w:rsidR="005A76FB" w:rsidRDefault="005A76FB" w:rsidP="005A76FB">
      <w:pPr>
        <w:spacing w:before="0" w:after="0" w:line="470" w:lineRule="exact"/>
        <w:ind w:firstLine="2261" w:left="-1364"/>
        <w:jc w:val="left"/>
        <w:rPr/>
      </w:pP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在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欧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盟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，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议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会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修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正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条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令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（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75/318/EEC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）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要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求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进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行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期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限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为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个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月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5"/>
          <w:w w:val="100"/>
        </w:rPr>
        <w:t>非</w:t>
      </w:r>
    </w:p>
    <w:p w:rsidR="005A76FB" w:rsidRDefault="005A76FB" w:rsidP="005A76FB">
      <w:pPr>
        <w:spacing w:before="0" w:after="0" w:line="545" w:lineRule="exact"/>
        <w:ind w:firstLine="1701" w:left="-1364"/>
        <w:jc w:val="left"/>
        <w:rPr/>
      </w:pPr>
      <w:r>
        <w:rPr>
          <w:rFonts w:ascii="宋体" w:hAnsi="宋体" w:cs="宋体"/>
          <w:u w:val="none"/>
          <w:sz w:val="28"/>
          <w:position w:val="4.52429199"/>
          <w:color w:val="000000"/>
          <w:noProof w:val="true"/>
          <w:spacing w:val="2"/>
          <w:w w:val="100"/>
        </w:rPr>
        <w:t>啮齿类动物试验。为避免重复，申报者如已进行了期限超过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0"/>
          <w:w w:val="100"/>
        </w:rPr>
        <w:t>个月的试</w:t>
      </w:r>
    </w:p>
    <w:p w:rsidR="005A76FB" w:rsidRDefault="005A76FB" w:rsidP="005A76FB">
      <w:pPr>
        <w:spacing w:before="0" w:after="0" w:line="545" w:lineRule="exact"/>
        <w:ind w:firstLine="1701" w:left="-1364"/>
        <w:jc w:val="left"/>
        <w:rPr/>
      </w:pPr>
      <w:r>
        <w:rPr>
          <w:rFonts w:ascii="宋体" w:eastAsia="宋体" w:hAnsi="宋体" w:cs="宋体"/>
          <w:u w:val="none"/>
          <w:sz w:val="28"/>
          <w:position w:val="4.52429199"/>
          <w:color w:val="000000"/>
          <w:noProof w:val="true"/>
          <w:spacing w:val="-4"/>
          <w:w w:val="100"/>
        </w:rPr>
        <w:t>验，可不必重新进行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宋体" w:hAnsi="宋体" w:cs="宋体"/>
          <w:u w:val="none"/>
          <w:sz w:val="28"/>
          <w:position w:val="4.52429199"/>
          <w:color w:val="000000"/>
          <w:noProof w:val="true"/>
          <w:spacing w:val="-4"/>
          <w:w w:val="100"/>
        </w:rPr>
        <w:t>个月的试验。</w:t>
      </w:r>
    </w:p>
    <w:p w:rsidR="005A76FB" w:rsidRDefault="005A76FB" w:rsidP="005A76FB">
      <w:pPr>
        <w:spacing w:before="0" w:after="0" w:lineRule="exact" w:line="240"/>
        <w:ind w:firstLine="1701" w:left="-1364"/>
        <w:rPr/>
      </w:pPr>
    </w:p>
    <w:p w:rsidR="005A76FB" w:rsidRDefault="005A76FB" w:rsidP="005A76FB">
      <w:pPr>
        <w:sectPr w:rsidR="005A76FB" w:rsidSect="005A76FB">
          <w:type w:val="continuous"/>
          <w:pgSz w:w="11908" w:h="16841"/>
          <w:pgMar w:top="1399" w:right="1005" w:bottom="1159" w:left="1365" w:header="0" w:footer="0" w:gutter="0"/>
        </w:sectPr>
        <w:spacing w:before="0" w:after="0" w:line="424" w:lineRule="exact"/>
        <w:ind w:firstLine="1701" w:left="-1364"/>
        <w:jc w:val="left"/>
        <w:rPr/>
      </w:pP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3"/>
        </w:rPr>
        <w:t>4</w:t>
      </w:r>
      <w:r>
        <w:rPr>
          <w:rFonts w:ascii="宋体" w:eastAsia="宋体" w:hAnsi="宋体" w:cs="宋体"/>
          <w:b/>
          <w:u w:val="none"/>
          <w:sz w:val="28"/>
          <w:position w:val="4.52429199"/>
          <w:color w:val="000000"/>
          <w:w w:val="95"/>
          <w:noProof w:val="true"/>
          <w:spacing w:val="-6"/>
        </w:rPr>
        <w:t>．</w:t>
      </w:r>
      <w:r>
        <w:rPr>
          <w:rFonts w:ascii="Times New Roman" w:hAnsi="Times New Roman" w:cs="Times New Roman"/>
          <w:b/>
          <w:u w:val="none"/>
          <w:sz w:val="28"/>
          <w:position w:val="0"/>
          <w:color w:val="000000"/>
          <w:w w:val="95"/>
          <w:noProof w:val="true"/>
          <w:spacing w:val="-4"/>
        </w:rPr>
        <w:t>ICH</w:t>
      </w:r>
      <w:r>
        <w:rPr>
          <w:rFonts w:ascii="宋体" w:eastAsia="宋体" w:hAnsi="宋体" w:cs="宋体"/>
          <w:b/>
          <w:u w:val="none"/>
          <w:sz w:val="28"/>
          <w:position w:val="4.52429199"/>
          <w:color w:val="000000"/>
          <w:w w:val="95"/>
          <w:noProof w:val="true"/>
          <w:spacing w:val="-5"/>
        </w:rPr>
        <w:t>三方有关慢性毒性试验期限的指导原则</w:t>
      </w:r>
    </w:p>
    <w:bookmarkStart w:id="4" w:name="4"/>
    <w:bookmarkEnd w:id="4"/>
    <w:p w:rsidR="005A76FB" w:rsidRDefault="005A76FB" w:rsidP="005A76FB">
      <w:pPr>
        <w:spacing w:before="0" w:after="0" w:line="344" w:lineRule="exact"/>
        <w:ind w:left="60" w:firstLine="0"/>
        <w:jc w:val="left"/>
        <w:rPr/>
      </w:pPr>
      <w:r>
        <w:rPr>
          <w:noProof/>
        </w:rPr>
        <w:pict>
          <v:shapetype id="polygon4" coordsize="44204,72" o:spt="12" path="m 0,36 l 0,36,44204,36e">
            <v:stroke joinstyle="miter"/>
          </v:shapetype>
          <v:shape id="WS_polygon4" type="polygon4" style="position:absolute;left:0;text-align:left;margin-left:69.3757pt;margin-top:42.4306pt;width:442.038pt;height:0.719116pt;z-index:4;mso-position-horizontal-relative:page;mso-position-vertical-relative:page" strokecolor="#000000" strokeweight="1pt">
            <v:fill opacity="0"/>
          </v:shape>
        </w:pict>
      </w:r>
      <w:r>
        <w:rPr>
          <w:rFonts w:ascii="Arial" w:hAnsi="Arial" w:cs="Arial"/>
          <w:i/>
          <w:u w:val="none"/>
          <w:sz w:val="20"/>
          <w:position w:val="0"/>
          <w:color w:val="000000"/>
          <w:noProof w:val="true"/>
          <w:spacing w:val="7"/>
          <w:w w:val="100"/>
        </w:rPr>
        <w:t>Duration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i/>
          <w:u w:val="none"/>
          <w:sz w:val="20"/>
          <w:position w:val="0"/>
          <w:color w:val="000000"/>
          <w:noProof w:val="true"/>
          <w:spacing w:val="-2"/>
          <w:w w:val="100"/>
        </w:rPr>
        <w:t>of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i/>
          <w:u w:val="none"/>
          <w:sz w:val="20"/>
          <w:position w:val="0"/>
          <w:color w:val="000000"/>
          <w:noProof w:val="true"/>
          <w:spacing w:val="3"/>
          <w:w w:val="100"/>
        </w:rPr>
        <w:t>Chronic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i/>
          <w:u w:val="none"/>
          <w:sz w:val="20"/>
          <w:position w:val="0"/>
          <w:color w:val="000000"/>
          <w:noProof w:val="true"/>
          <w:spacing w:val="3"/>
          <w:w w:val="100"/>
        </w:rPr>
        <w:t>Toxicity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i/>
          <w:u w:val="none"/>
          <w:sz w:val="20"/>
          <w:position w:val="0"/>
          <w:color w:val="000000"/>
          <w:noProof w:val="true"/>
          <w:spacing w:val="0"/>
          <w:w w:val="100"/>
        </w:rPr>
        <w:t>Testing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i/>
          <w:u w:val="none"/>
          <w:sz w:val="20"/>
          <w:position w:val="0"/>
          <w:color w:val="000000"/>
          <w:noProof w:val="true"/>
          <w:spacing w:val="13"/>
          <w:w w:val="100"/>
        </w:rPr>
        <w:t>in</w:t>
      </w:r>
      <w:r>
        <w:rPr>
          <w:rFonts w:ascii="Calibri" w:hAnsi="Calibri" w:cs="Calibri"/>
          <w:i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i/>
          <w:u w:val="none"/>
          <w:sz w:val="20"/>
          <w:position w:val="0"/>
          <w:color w:val="000000"/>
          <w:noProof w:val="true"/>
          <w:spacing w:val="6"/>
          <w:w w:val="100"/>
        </w:rPr>
        <w:t>Animals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spacing w:before="0" w:after="0" w:line="477" w:lineRule="exact"/>
        <w:ind w:firstLine="56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4.52424622"/>
          <w:color w:val="000000"/>
          <w:noProof w:val="true"/>
          <w:spacing w:val="1"/>
          <w:w w:val="100"/>
        </w:rPr>
        <w:t>根据对上述非啮齿类动物试验资料的全面分析和回顾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,</w:t>
      </w:r>
      <w:r>
        <w:rPr>
          <w:rFonts w:ascii="宋体" w:eastAsia="宋体" w:hAnsi="宋体" w:cs="宋体"/>
          <w:u w:val="none"/>
          <w:sz w:val="28"/>
          <w:position w:val="4.52424622"/>
          <w:color w:val="000000"/>
          <w:noProof w:val="true"/>
          <w:spacing w:val="-2"/>
          <w:w w:val="100"/>
        </w:rPr>
        <w:t>以及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ICH</w:t>
      </w:r>
      <w:r>
        <w:rPr>
          <w:rFonts w:ascii="Times New Roman" w:hAnsi="Times New Roman" w:cs="Times New Roman"/>
          <w:u w:val="none"/>
          <w:sz w:val="24"/>
          <w:position w:val="0"/>
          <w:color w:val="000000"/>
          <w:noProof w:val="true"/>
          <w:spacing w:val="-2"/>
          <w:w w:val="100"/>
        </w:rPr>
        <w:t>-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宋体" w:eastAsia="宋体" w:hAnsi="宋体" w:cs="宋体"/>
          <w:u w:val="none"/>
          <w:sz w:val="28"/>
          <w:position w:val="4.52424622"/>
          <w:color w:val="000000"/>
          <w:noProof w:val="true"/>
          <w:spacing w:val="-5"/>
          <w:w w:val="100"/>
        </w:rPr>
        <w:t>在</w:t>
      </w:r>
    </w:p>
    <w:p w:rsidR="005A76FB" w:rsidRDefault="005A76FB" w:rsidP="005A76FB">
      <w:pPr>
        <w:spacing w:before="0" w:after="0" w:lineRule="exact" w:line="220"/>
        <w:ind w:firstLine="560" w:left="60"/>
        <w:rPr/>
      </w:pPr>
    </w:p>
    <w:p w:rsidR="005A76FB" w:rsidRDefault="005A76FB" w:rsidP="005A76FB">
      <w:pPr>
        <w:spacing w:before="0" w:after="0" w:line="28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啮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齿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类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动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物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验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要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5"/>
          <w:w w:val="100"/>
        </w:rPr>
        <w:t>求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2"/>
          <w:w w:val="100"/>
        </w:rPr>
        <w:t>方面已达成的共识，为避免重复试验，并使协调三</w:t>
      </w:r>
    </w:p>
    <w:p w:rsidR="005A76FB" w:rsidRDefault="005A76FB" w:rsidP="005A76FB">
      <w:pPr>
        <w:spacing w:before="0" w:after="0" w:lineRule="exact" w:line="224"/>
        <w:ind w:firstLine="0" w:left="60"/>
        <w:rPr/>
      </w:pPr>
    </w:p>
    <w:p w:rsidR="005A76FB" w:rsidRDefault="005A76FB" w:rsidP="005A76FB">
      <w:pPr>
        <w:spacing w:before="0" w:after="0" w:line="367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4.52426147"/>
          <w:color w:val="000000"/>
          <w:noProof w:val="true"/>
          <w:spacing w:val="1"/>
          <w:w w:val="100"/>
        </w:rPr>
        <w:t>方在新药慢性毒性试验方面有可遵循的统一要求，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ICH</w:t>
      </w:r>
      <w:r>
        <w:rPr>
          <w:rFonts w:ascii="宋体" w:eastAsia="宋体" w:hAnsi="宋体" w:cs="宋体"/>
          <w:u w:val="none"/>
          <w:sz w:val="28"/>
          <w:position w:val="4.52426147"/>
          <w:color w:val="000000"/>
          <w:noProof w:val="true"/>
          <w:spacing w:val="0"/>
          <w:w w:val="100"/>
        </w:rPr>
        <w:t>三方可接受以下</w:t>
      </w:r>
    </w:p>
    <w:p w:rsidR="005A76FB" w:rsidRDefault="005A76FB" w:rsidP="005A76FB">
      <w:pPr>
        <w:spacing w:before="0" w:after="0" w:lineRule="exact" w:line="220"/>
        <w:ind w:firstLine="0" w:left="60"/>
        <w:rPr/>
      </w:pPr>
    </w:p>
    <w:p w:rsidR="005A76FB" w:rsidRDefault="005A76FB" w:rsidP="005A76FB">
      <w:pPr>
        <w:spacing w:before="0" w:after="0" w:line="28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-4"/>
          <w:w w:val="100"/>
        </w:rPr>
        <w:t>慢性毒性试验资料：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0"/>
          <w:pgMar w:top="483" w:right="997" w:bottom="243" w:left="1357" w:header="0" w:footer="0" w:gutter="0"/>
          <w:cols w:num="1" w:equalWidth="0">
            <w:col w:w="955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344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0"/>
          <w:pgMar w:top="483" w:right="997" w:bottom="243" w:left="135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7" w:lineRule="exact"/>
        <w:ind w:firstLine="0" w:left="34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1</w:t>
      </w:r>
      <w:r>
        <w:rPr>
          <w:rFonts w:ascii="宋体" w:eastAsia="宋体" w:hAnsi="宋体" w:cs="宋体"/>
          <w:u w:val="none"/>
          <w:sz w:val="28"/>
          <w:position w:val="4.52426147"/>
          <w:color w:val="000000"/>
          <w:noProof w:val="true"/>
          <w:spacing w:val="-5"/>
          <w:w w:val="100"/>
        </w:rPr>
        <w:t>）</w:t>
      </w:r>
    </w:p>
    <w:p w:rsidR="005A76FB" w:rsidRDefault="005A76FB" w:rsidP="005A76FB">
      <w:pPr>
        <w:spacing w:before="0" w:after="0" w:line="36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4.52426147"/>
          <w:color w:val="000000"/>
          <w:noProof w:val="true"/>
          <w:spacing w:val="-4"/>
          <w:w w:val="100"/>
        </w:rPr>
        <w:t>啮齿类动物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0"/>
          <w:pgMar w:top="483" w:right="997" w:bottom="243" w:left="1357" w:header="0" w:footer="0" w:gutter="0"/>
          <w:cols w:num="2" w:equalWidth="0">
            <w:col w:w="1067" w:space="0"/>
            <w:col w:w="848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78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0"/>
          <w:pgMar w:top="483" w:right="997" w:bottom="243" w:left="135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7" w:lineRule="exact"/>
        <w:ind w:firstLine="0" w:left="627"/>
        <w:jc w:val="left"/>
        <w:rPr/>
      </w:pPr>
      <w:r>
        <w:rPr>
          <w:rFonts w:ascii="宋体" w:eastAsia="宋体" w:hAnsi="宋体" w:cs="宋体"/>
          <w:u w:val="none"/>
          <w:sz w:val="28"/>
          <w:position w:val="4.52426147"/>
          <w:color w:val="000000"/>
          <w:noProof w:val="true"/>
          <w:spacing w:val="-5"/>
          <w:w w:val="100"/>
        </w:rPr>
        <w:t>期</w:t>
      </w:r>
      <w:r>
        <w:rPr>
          <w:rFonts w:ascii="宋体" w:eastAsia="宋体" w:hAnsi="宋体" w:cs="宋体"/>
          <w:u w:val="none"/>
          <w:sz w:val="28"/>
          <w:position w:val="4.52426147"/>
          <w:color w:val="000000"/>
          <w:noProof w:val="true"/>
          <w:spacing w:val="-5"/>
          <w:w w:val="100"/>
        </w:rPr>
        <w:t>限</w:t>
      </w:r>
      <w:r>
        <w:rPr>
          <w:rFonts w:ascii="宋体" w:eastAsia="宋体" w:hAnsi="宋体" w:cs="宋体"/>
          <w:u w:val="none"/>
          <w:sz w:val="28"/>
          <w:position w:val="4.52426147"/>
          <w:color w:val="000000"/>
          <w:noProof w:val="true"/>
          <w:spacing w:val="-5"/>
          <w:w w:val="100"/>
        </w:rPr>
        <w:t>为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6</w:t>
      </w:r>
      <w:r>
        <w:rPr>
          <w:rFonts w:ascii="宋体" w:eastAsia="宋体" w:hAnsi="宋体" w:cs="宋体"/>
          <w:u w:val="none"/>
          <w:sz w:val="28"/>
          <w:position w:val="4.52426147"/>
          <w:color w:val="000000"/>
          <w:noProof w:val="true"/>
          <w:spacing w:val="-5"/>
          <w:w w:val="100"/>
        </w:rPr>
        <w:t>个</w:t>
      </w:r>
      <w:r>
        <w:rPr>
          <w:rFonts w:ascii="宋体" w:eastAsia="宋体" w:hAnsi="宋体" w:cs="宋体"/>
          <w:u w:val="none"/>
          <w:sz w:val="28"/>
          <w:position w:val="4.52426147"/>
          <w:color w:val="000000"/>
          <w:noProof w:val="true"/>
          <w:spacing w:val="-5"/>
          <w:w w:val="100"/>
        </w:rPr>
        <w:t>月</w:t>
      </w:r>
      <w:r>
        <w:rPr>
          <w:rFonts w:ascii="宋体" w:eastAsia="宋体" w:hAnsi="宋体" w:cs="宋体"/>
          <w:u w:val="none"/>
          <w:sz w:val="28"/>
          <w:position w:val="4.52426147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4.52426147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4.52426147"/>
          <w:color w:val="000000"/>
          <w:noProof w:val="true"/>
          <w:spacing w:val="-5"/>
          <w:w w:val="100"/>
        </w:rPr>
        <w:t>验</w:t>
      </w:r>
      <w:r>
        <w:rPr>
          <w:rFonts w:ascii="宋体" w:eastAsia="宋体" w:hAnsi="宋体" w:cs="宋体"/>
          <w:u w:val="none"/>
          <w:sz w:val="28"/>
          <w:position w:val="4.52426147"/>
          <w:color w:val="000000"/>
          <w:noProof w:val="true"/>
          <w:spacing w:val="-5"/>
          <w:w w:val="100"/>
        </w:rPr>
        <w:t>研</w:t>
      </w:r>
      <w:r>
        <w:rPr>
          <w:rFonts w:ascii="宋体" w:eastAsia="宋体" w:hAnsi="宋体" w:cs="宋体"/>
          <w:u w:val="none"/>
          <w:sz w:val="28"/>
          <w:position w:val="4.52426147"/>
          <w:color w:val="000000"/>
          <w:noProof w:val="true"/>
          <w:spacing w:val="-5"/>
          <w:w w:val="100"/>
        </w:rPr>
        <w:t>究</w:t>
      </w:r>
      <w:r>
        <w:rPr>
          <w:rFonts w:ascii="宋体" w:eastAsia="宋体" w:hAnsi="宋体" w:cs="宋体"/>
          <w:u w:val="none"/>
          <w:sz w:val="28"/>
          <w:position w:val="4.52426147"/>
          <w:color w:val="000000"/>
          <w:noProof w:val="true"/>
          <w:spacing w:val="-5"/>
          <w:w w:val="100"/>
        </w:rPr>
        <w:t>；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0"/>
          <w:pgMar w:top="483" w:right="997" w:bottom="243" w:left="1357" w:header="0" w:footer="0" w:gutter="0"/>
          <w:cols w:num="1" w:equalWidth="0">
            <w:col w:w="955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98"/>
        <w:ind w:firstLine="0" w:left="62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0"/>
          <w:pgMar w:top="483" w:right="997" w:bottom="243" w:left="135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7" w:lineRule="exact"/>
        <w:ind w:firstLine="0" w:left="348"/>
        <w:jc w:val="left"/>
        <w:rPr/>
      </w:pP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2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）</w:t>
      </w:r>
    </w:p>
    <w:p w:rsidR="005A76FB" w:rsidRDefault="005A76FB" w:rsidP="005A76FB">
      <w:pPr>
        <w:spacing w:before="0" w:after="0" w:line="36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4"/>
          <w:w w:val="100"/>
        </w:rPr>
        <w:t>非啮齿类动物</w:t>
      </w:r>
      <w:r w:rsidRPr="00B3349A">
        <w:rPr/>
        <w:lastRenderedPageBreak/>
        <w:t/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2"/>
          <w:w w:val="100"/>
        </w:rPr>
        <w:t>: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0"/>
          <w:pgMar w:top="483" w:right="997" w:bottom="243" w:left="1357" w:header="0" w:footer="0" w:gutter="0"/>
          <w:cols w:num="2" w:equalWidth="0">
            <w:col w:w="1067" w:space="0"/>
            <w:col w:w="848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78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0"/>
          <w:pgMar w:top="483" w:right="997" w:bottom="243" w:left="135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7" w:lineRule="exact"/>
        <w:ind w:firstLine="0" w:left="627"/>
        <w:jc w:val="left"/>
        <w:rPr/>
      </w:pP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期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限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为</w:t>
      </w:r>
      <w:r>
        <w:rPr>
          <w:rFonts w:ascii="Times New Roman" w:hAnsi="Times New Roman" w:cs="Times New Roman"/>
          <w:u w:val="none"/>
          <w:sz w:val="28"/>
          <w:position w:val="0"/>
          <w:color w:val="000000"/>
          <w:noProof w:val="true"/>
          <w:spacing w:val="-3"/>
          <w:w w:val="100"/>
        </w:rPr>
        <w:t>9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个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月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的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试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验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研</w:t>
      </w:r>
      <w:r>
        <w:rPr>
          <w:rFonts w:ascii="宋体" w:eastAsia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究</w:t>
      </w:r>
      <w:r>
        <w:rPr>
          <w:rFonts w:ascii="宋体" w:hAnsi="宋体" w:cs="宋体"/>
          <w:u w:val="none"/>
          <w:sz w:val="28"/>
          <w:position w:val="4.52423096"/>
          <w:color w:val="000000"/>
          <w:noProof w:val="true"/>
          <w:spacing w:val="-5"/>
          <w:w w:val="100"/>
        </w:rPr>
        <w:t>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0"/>
          <w:pgMar w:top="483" w:right="997" w:bottom="243" w:left="1357" w:header="0" w:footer="0" w:gutter="0"/>
          <w:cols w:num="1" w:equalWidth="0">
            <w:col w:w="955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40"/>
        <w:ind w:firstLine="0" w:left="627"/>
        <w:rPr/>
      </w:pPr>
    </w:p>
    <w:p w:rsidR="005A76FB" w:rsidRDefault="005A76FB" w:rsidP="005A76FB">
      <w:pPr>
        <w:spacing w:before="0" w:after="0" w:lineRule="exact" w:line="261"/>
        <w:ind w:firstLine="0" w:left="627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8" w:h="16840"/>
          <w:pgMar w:top="483" w:right="997" w:bottom="243" w:left="135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31" w:lineRule="exact"/>
        <w:ind w:firstLine="0" w:left="4389"/>
        <w:jc w:val="left"/>
        <w:rPr/>
      </w:pPr>
      <w:r>
        <w:rPr>
          <w:rFonts w:ascii="Arial" w:hAnsi="Arial" w:cs="Arial"/>
          <w:u w:val="none"/>
          <w:sz w:val="22"/>
          <w:position w:val="0"/>
          <w:color w:val="000000"/>
          <w:noProof w:val="true"/>
          <w:spacing w:val="-3"/>
          <w:w w:val="100"/>
        </w:rPr>
        <w:t>4</w:t>
      </w:r>
    </w:p>
    <w:sectPr w:rsidR="005A76FB" w:rsidSect="005A76FB">
      <w:type w:val="continuous"/>
      <w:pgSz w:w="11908" w:h="16840"/>
      <w:pgMar w:top="483" w:right="997" w:bottom="243" w:left="1357" w:header="0" w:footer="0" w:gutter="0"/>
      <w:cols w:num="1" w:equalWidth="0">
        <w:col w:w="9553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ntTable" Target="fontTable.xml" />
    <Relationship Id="rId5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