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432" w:lineRule="exact"/>
        <w:ind w:left="7439" w:firstLine="0"/>
        <w:jc w:val="left"/>
        <w:rPr/>
      </w:pPr>
      <w:r>
        <w:rPr>
          <w:noProof/>
        </w:rPr>
        <w:pict>
          <v:shapetype id="polygon27" coordsize="48,48" o:spt="12" path="m 0,48 l 0,48,48,48 l 48,48,48,0 l 48,0,0,0 l 0,0,0,48e x">
            <v:stroke joinstyle="miter"/>
          </v:shapetype>
          <v:shape id="WS_polygon27" type="polygon27" style="position:absolute;left:0;text-align:left;margin-left:139.951pt;margin-top:229.309pt;width:0.479691pt;height:0.479431pt;z-index:-251658090;mso-position-horizontal-relative:page;mso-position-vertical-relative:page" stroked="f">
            <v:fill color="#000000"/>
          </v:shape>
        </w:pict>
      </w:r>
      <w:r>
        <w:rPr>
          <w:noProof/>
        </w:rPr>
        <w:pict>
          <v:shapetype id="polygon28" coordsize="48,48" o:spt="12" path="m 0,48 l 0,48,48,48 l 48,48,48,0 l 48,0,0,0 l 0,0,0,48e x">
            <v:stroke joinstyle="miter"/>
          </v:shapetype>
          <v:shape id="WS_polygon28" type="polygon28" style="position:absolute;left:0;text-align:left;margin-left:139.951pt;margin-top:229.309pt;width:0.479691pt;height:0.479431pt;z-index:-251658089;mso-position-horizontal-relative:page;mso-position-vertical-relative:page" stroked="f">
            <v:fill color="#000000"/>
          </v:shape>
        </w:pict>
      </w:r>
      <w:r>
        <w:rPr>
          <w:noProof/>
        </w:rPr>
        <w:pict>
          <v:shapetype id="polygon29" coordsize="20381,48" o:spt="12" path="m 0,24 l 0,24,20381,24e">
            <v:stroke joinstyle="miter"/>
          </v:shapetype>
          <v:shape id="WS_polygon29" type="polygon29" style="position:absolute;left:0;text-align:left;margin-left:140.43pt;margin-top:229.309pt;width:203.81pt;height:0.479431pt;z-index:29;mso-position-horizontal-relative:page;mso-position-vertical-relative:page" strokecolor="#000000" strokeweight="0pt">
            <v:fill opacity="0"/>
          </v:shape>
        </w:pict>
      </w:r>
      <w:r>
        <w:rPr>
          <w:noProof/>
        </w:rPr>
        <w:pict>
          <v:shapetype id="polygon30" coordsize="48,48" o:spt="12" path="m 0,48 l 0,48,48,48 l 48,48,48,0 l 48,0,0,0 l 0,0,0,48e x">
            <v:stroke joinstyle="miter"/>
          </v:shapetype>
          <v:shape id="WS_polygon30" type="polygon30" style="position:absolute;left:0;text-align:left;margin-left:344.24pt;margin-top:229.309pt;width:0.479706pt;height:0.479431pt;z-index:-251658087;mso-position-horizontal-relative:page;mso-position-vertical-relative:page" stroked="f">
            <v:fill color="#000000"/>
          </v:shape>
        </w:pict>
      </w:r>
      <w:r>
        <w:rPr>
          <w:noProof/>
        </w:rPr>
        <w:pict>
          <v:shapetype id="polygon31" coordsize="48,48" o:spt="12" path="m 0,48 l 0,48,48,48 l 48,48,48,0 l 48,0,0,0 l 0,0,0,48e x">
            <v:stroke joinstyle="miter"/>
          </v:shapetype>
          <v:shape id="WS_polygon31" type="polygon31" style="position:absolute;left:0;text-align:left;margin-left:344.24pt;margin-top:229.309pt;width:0.479706pt;height:0.479431pt;z-index:-251658086;mso-position-horizontal-relative:page;mso-position-vertical-relative:page" stroked="f">
            <v:fill color="#000000"/>
          </v:shape>
        </w:pict>
      </w:r>
      <w:r>
        <w:rPr>
          <w:noProof/>
        </w:rPr>
        <w:pict>
          <v:shapetype id="polygon32" coordsize="48,6743" o:spt="12" path="m 24,0 l 24,0,24,6743e">
            <v:stroke joinstyle="miter"/>
          </v:shapetype>
          <v:shape id="WS_polygon32" type="polygon32" style="position:absolute;left:0;text-align:left;margin-left:139.951pt;margin-top:229.789pt;width:0.479691pt;height:67.4263pt;z-index:-251658085;mso-position-horizontal-relative:page;mso-position-vertical-relative:page" strokecolor="#000000" strokeweight="0pt">
            <v:fill opacity="0"/>
          </v:shape>
        </w:pict>
      </w:r>
      <w:r>
        <w:rPr>
          <w:noProof/>
        </w:rPr>
        <w:pict>
          <v:shapetype id="polygon33" coordsize="48,48" o:spt="12" path="m 0,48 l 0,48,48,48 l 48,48,48,0 l 48,0,0,0 l 0,0,0,48e x">
            <v:stroke joinstyle="miter"/>
          </v:shapetype>
          <v:shape id="WS_polygon33" type="polygon33" style="position:absolute;left:0;text-align:left;margin-left:139.951pt;margin-top:297.215pt;width:0.479691pt;height:0.479431pt;z-index:-251658084;mso-position-horizontal-relative:page;mso-position-vertical-relative:page" stroked="f">
            <v:fill color="#000000"/>
          </v:shape>
        </w:pict>
      </w:r>
      <w:r>
        <w:rPr>
          <w:noProof/>
        </w:rPr>
        <w:pict>
          <v:shapetype id="polygon34" coordsize="48,48" o:spt="12" path="m 0,48 l 0,48,48,48 l 48,48,48,0 l 48,0,0,0 l 0,0,0,48e x">
            <v:stroke joinstyle="miter"/>
          </v:shapetype>
          <v:shape id="WS_polygon34" type="polygon34" style="position:absolute;left:0;text-align:left;margin-left:139.951pt;margin-top:297.215pt;width:0.479691pt;height:0.479431pt;z-index:-251658083;mso-position-horizontal-relative:page;mso-position-vertical-relative:page" stroked="f">
            <v:fill color="#000000"/>
          </v:shape>
        </w:pict>
      </w:r>
      <w:r>
        <w:rPr>
          <w:noProof/>
        </w:rPr>
        <w:pict>
          <v:shapetype id="polygon35" coordsize="20381,48" o:spt="12" path="m 0,24 l 0,24,20381,24e">
            <v:stroke joinstyle="miter"/>
          </v:shapetype>
          <v:shape id="WS_polygon35" type="polygon35" style="position:absolute;left:0;text-align:left;margin-left:140.43pt;margin-top:297.215pt;width:203.81pt;height:0.479431pt;z-index:35;mso-position-horizontal-relative:page;mso-position-vertical-relative:page" strokecolor="#000000" strokeweight="0pt">
            <v:fill opacity="0"/>
          </v:shape>
        </w:pict>
      </w:r>
      <w:r>
        <w:rPr>
          <w:noProof/>
        </w:rPr>
        <w:pict>
          <v:shapetype id="polygon36" coordsize="48,6743" o:spt="12" path="m 24,0 l 24,0,24,6743e">
            <v:stroke joinstyle="miter"/>
          </v:shapetype>
          <v:shape id="WS_polygon36" type="polygon36" style="position:absolute;left:0;text-align:left;margin-left:344.24pt;margin-top:229.789pt;width:0.479706pt;height:67.4263pt;z-index:-251658081;mso-position-horizontal-relative:page;mso-position-vertical-relative:page" strokecolor="#000000" strokeweight="0pt">
            <v:fill opacity="0"/>
          </v:shape>
        </w:pict>
      </w:r>
      <w:r>
        <w:rPr>
          <w:noProof/>
        </w:rPr>
        <w:pict>
          <v:shapetype id="polygon37" coordsize="48,48" o:spt="12" path="m 0,48 l 0,48,48,48 l 48,48,48,0 l 48,0,0,0 l 0,0,0,48e x">
            <v:stroke joinstyle="miter"/>
          </v:shapetype>
          <v:shape id="WS_polygon37" type="polygon37" style="position:absolute;left:0;text-align:left;margin-left:344.24pt;margin-top:297.215pt;width:0.479706pt;height:0.479431pt;z-index:-251658080;mso-position-horizontal-relative:page;mso-position-vertical-relative:page" stroked="f">
            <v:fill color="#000000"/>
          </v:shape>
        </w:pict>
      </w:r>
      <w:r>
        <w:rPr>
          <w:noProof/>
        </w:rPr>
        <w:pict>
          <v:shapetype id="polygon38" coordsize="48,48" o:spt="12" path="m 0,48 l 0,48,48,48 l 48,48,48,0 l 48,0,0,0 l 0,0,0,48e x">
            <v:stroke joinstyle="miter"/>
          </v:shapetype>
          <v:shape id="WS_polygon38" type="polygon38" style="position:absolute;left:0;text-align:left;margin-left:344.24pt;margin-top:297.215pt;width:0.479706pt;height:0.479431pt;z-index:-251658079;mso-position-horizontal-relative:page;mso-position-vertical-relative:page" stroked="f">
            <v:fill color="#000000"/>
          </v:shape>
        </w:pict>
      </w:r>
      <w:r>
        <w:rPr>
          <w:rFonts w:ascii="Times New Roman" w:hAnsi="Times New Roman" w:cs="Times New Roman"/>
          <w:b/>
          <w:u w:val="none"/>
          <w:sz w:val="28"/>
          <w:position w:val="0"/>
          <w:color w:val="000000"/>
          <w:w w:val="95"/>
          <w:noProof w:val="true"/>
          <w:spacing w:val="-3"/>
        </w:rPr>
        <w:t>S3B</w:t>
      </w:r>
    </w:p>
    <w:p w:rsidR="005A76FB" w:rsidRDefault="005A76FB" w:rsidP="005A76FB">
      <w:pPr>
        <w:widowControl/>
        <w:jc w:val="left"/>
        <w:rPr/>
        <w:sectPr w:rsidR="005A76FB" w:rsidSect="005A76FB">
          <w:type w:val="continuous"/>
          <w:pgSz w:w="11908" w:h="16839"/>
          <w:pgMar w:top="1206" w:right="713" w:bottom="966" w:left="1073" w:header="0" w:footer="0" w:gutter="0"/>
          <w:cols w:num="1" w:equalWidth="0">
            <w:col w:w="10121" w:space="0"/>
          </w:cols>
          <w:docGrid w:type="lines" w:linePitch="312"/>
        </w:sectPr>
      </w:pPr>
    </w:p>
    <w:p w:rsidR="005A76FB" w:rsidRDefault="005A76FB" w:rsidP="005A76FB">
      <w:pPr>
        <w:spacing w:before="0" w:after="0" w:lineRule="exact" w:line="240"/>
        <w:ind w:left="7439" w:firstLine="0"/>
        <w:rPr/>
      </w:pPr>
    </w:p>
    <w:p w:rsidR="005A76FB" w:rsidRDefault="005A76FB" w:rsidP="005A76FB">
      <w:pPr>
        <w:spacing w:before="0" w:after="0" w:lineRule="exact" w:line="417"/>
        <w:ind w:left="7439" w:firstLine="0"/>
        <w:rPr/>
      </w:pPr>
    </w:p>
    <w:p w:rsidR="005A76FB" w:rsidRDefault="005A76FB" w:rsidP="005A76FB">
      <w:pPr>
        <w:widowControl/>
        <w:jc w:val="left"/>
        <w:rPr/>
        <w:sectPr w:rsidR="005A76FB" w:rsidSect="005A76FB">
          <w:type w:val="continuous"/>
          <w:pgSz w:w="11908" w:h="16839"/>
          <w:pgMar w:top="1206" w:right="713" w:bottom="966" w:left="1073" w:header="0" w:footer="0" w:gutter="0"/>
          <w:docGrid w:type="lines" w:linePitch="312"/>
        </w:sectPr>
      </w:pPr>
    </w:p>
    <w:p w:rsidR="005A76FB" w:rsidRDefault="005A76FB" w:rsidP="005A76FB">
      <w:pPr>
        <w:spacing w:before="0" w:after="0" w:line="315" w:lineRule="exact"/>
        <w:ind w:firstLine="0" w:left="2021"/>
        <w:jc w:val="left"/>
        <w:rPr/>
      </w:pPr>
      <w:r>
        <w:rPr>
          <w:rFonts w:ascii="宋体" w:eastAsia="宋体" w:hAnsi="宋体" w:cs="宋体"/>
          <w:b/>
          <w:u w:val="none"/>
          <w:sz w:val="28"/>
          <w:position w:val="3.31018066"/>
          <w:color w:val="000000"/>
          <w:w w:val="95"/>
          <w:noProof w:val="true"/>
          <w:spacing w:val="-5"/>
        </w:rPr>
        <w:t>人用药品注册技术要求国际协调会</w:t>
      </w:r>
      <w:r>
        <w:rPr>
          <w:rFonts w:ascii="Times New Roman" w:hAnsi="Times New Roman" w:cs="Times New Roman"/>
          <w:u w:val="none"/>
          <w:sz w:val="24"/>
          <w:position w:val="0"/>
          <w:color w:val="000000"/>
          <w:noProof w:val="true"/>
          <w:spacing w:val="-3"/>
          <w:w w:val="100"/>
        </w:rPr>
        <w:t>(ICH)</w:t>
      </w:r>
    </w:p>
    <w:p w:rsidR="005A76FB" w:rsidRDefault="005A76FB" w:rsidP="005A76FB">
      <w:pPr>
        <w:spacing w:before="0" w:after="0" w:line="558" w:lineRule="exact"/>
        <w:ind w:firstLine="550" w:left="2021"/>
        <w:jc w:val="left"/>
        <w:rPr/>
      </w:pP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3"/>
          <w:w w:val="100"/>
        </w:rPr>
        <w:t> </w:t>
      </w:r>
      <w:r>
        <w:rPr>
          <w:rFonts w:ascii="宋体" w:eastAsia="宋体" w:hAnsi="宋体" w:cs="宋体"/>
          <w:b/>
          <w:u w:val="none"/>
          <w:sz w:val="28"/>
          <w:position w:val="4.52456665"/>
          <w:color w:val="000000"/>
          <w:w w:val="95"/>
          <w:noProof w:val="true"/>
          <w:spacing w:val="-5"/>
        </w:rPr>
        <w:t>三方协调指导原则</w:t>
      </w:r>
    </w:p>
    <w:p w:rsidR="005A76FB" w:rsidRDefault="005A76FB" w:rsidP="005A76FB">
      <w:pPr>
        <w:widowControl/>
        <w:jc w:val="left"/>
        <w:rPr/>
        <w:sectPr w:rsidR="005A76FB" w:rsidSect="005A76FB">
          <w:type w:val="continuous"/>
          <w:pgSz w:w="11908" w:h="16839"/>
          <w:pgMar w:top="1206" w:right="713" w:bottom="966" w:left="1073" w:header="0" w:footer="0" w:gutter="0"/>
          <w:cols w:num="1" w:equalWidth="0">
            <w:col w:w="10121" w:space="0"/>
          </w:cols>
          <w:docGrid w:type="lines" w:linePitch="312"/>
        </w:sectPr>
      </w:pPr>
    </w:p>
    <w:p w:rsidR="005A76FB" w:rsidRDefault="005A76FB" w:rsidP="005A76FB">
      <w:pPr>
        <w:spacing w:before="0" w:after="0" w:lineRule="exact" w:line="240"/>
        <w:ind w:firstLine="550" w:left="2021"/>
        <w:rPr/>
      </w:pPr>
    </w:p>
    <w:p w:rsidR="005A76FB" w:rsidRDefault="005A76FB" w:rsidP="005A76FB">
      <w:pPr>
        <w:spacing w:before="0" w:after="0" w:lineRule="exact" w:line="240"/>
        <w:ind w:firstLine="550" w:left="2021"/>
        <w:rPr/>
      </w:pPr>
    </w:p>
    <w:p w:rsidR="005A76FB" w:rsidRDefault="005A76FB" w:rsidP="005A76FB">
      <w:pPr>
        <w:spacing w:before="0" w:after="0" w:lineRule="exact" w:line="240"/>
        <w:ind w:firstLine="550" w:left="2021"/>
        <w:rPr/>
      </w:pPr>
    </w:p>
    <w:p w:rsidR="005A76FB" w:rsidRDefault="005A76FB" w:rsidP="005A76FB">
      <w:pPr>
        <w:spacing w:before="0" w:after="0" w:lineRule="exact" w:line="240"/>
        <w:ind w:firstLine="550" w:left="2021"/>
        <w:rPr/>
      </w:pPr>
    </w:p>
    <w:p w:rsidR="005A76FB" w:rsidRDefault="005A76FB" w:rsidP="005A76FB">
      <w:pPr>
        <w:spacing w:before="0" w:after="0" w:lineRule="exact" w:line="240"/>
        <w:ind w:firstLine="550" w:left="2021"/>
        <w:rPr/>
      </w:pPr>
    </w:p>
    <w:p w:rsidR="005A76FB" w:rsidRDefault="005A76FB" w:rsidP="005A76FB">
      <w:pPr>
        <w:spacing w:before="0" w:after="0" w:lineRule="exact" w:line="263"/>
        <w:ind w:firstLine="550" w:left="2021"/>
        <w:rPr/>
      </w:pPr>
    </w:p>
    <w:p w:rsidR="005A76FB" w:rsidRDefault="005A76FB" w:rsidP="005A76FB">
      <w:pPr>
        <w:widowControl/>
        <w:jc w:val="left"/>
        <w:rPr/>
        <w:sectPr w:rsidR="005A76FB" w:rsidSect="005A76FB">
          <w:type w:val="continuous"/>
          <w:pgSz w:w="11908" w:h="16839"/>
          <w:pgMar w:top="1206" w:right="713" w:bottom="966" w:left="1073" w:header="0" w:footer="0" w:gutter="0"/>
          <w:docGrid w:type="lines" w:linePitch="312"/>
        </w:sectPr>
      </w:pPr>
    </w:p>
    <w:p w:rsidR="005A76FB" w:rsidRDefault="005A76FB" w:rsidP="005A76FB">
      <w:pPr>
        <w:spacing w:before="0" w:after="0" w:line="241" w:lineRule="exact"/>
        <w:ind w:firstLine="120" w:left="2077"/>
        <w:jc w:val="left"/>
        <w:rPr/>
      </w:pPr>
      <w:r>
        <w:rPr>
          <w:rFonts w:ascii="宋体" w:eastAsia="宋体" w:hAnsi="宋体" w:cs="宋体"/>
          <w:b/>
          <w:u w:val="none"/>
          <w:sz w:val="24"/>
          <w:position w:val="0"/>
          <w:color w:val="000000"/>
          <w:w w:val="95"/>
          <w:noProof w:val="true"/>
          <w:spacing w:val="-5"/>
        </w:rPr>
        <w:t>药物代谢动力学（药代动力学）：</w:t>
      </w:r>
    </w:p>
    <w:p w:rsidR="005A76FB" w:rsidRDefault="005A76FB" w:rsidP="005A76FB">
      <w:pPr>
        <w:spacing w:before="0" w:after="0" w:lineRule="exact" w:line="240"/>
        <w:ind w:firstLine="120" w:left="2077"/>
        <w:rPr/>
      </w:pPr>
    </w:p>
    <w:p w:rsidR="005A76FB" w:rsidRDefault="005A76FB" w:rsidP="005A76FB">
      <w:pPr>
        <w:spacing w:before="0" w:after="0" w:lineRule="exact" w:line="240"/>
        <w:ind w:firstLine="120" w:left="2077"/>
        <w:rPr/>
      </w:pPr>
    </w:p>
    <w:p w:rsidR="005A76FB" w:rsidRDefault="005A76FB" w:rsidP="005A76FB">
      <w:pPr>
        <w:spacing w:before="0" w:after="0" w:line="401" w:lineRule="exact"/>
        <w:ind w:firstLine="0" w:left="2077"/>
        <w:jc w:val="left"/>
        <w:rPr/>
      </w:pPr>
      <w:r>
        <w:rPr>
          <w:rFonts w:ascii="宋体" w:eastAsia="宋体" w:hAnsi="宋体" w:cs="宋体"/>
          <w:b/>
          <w:u w:val="none"/>
          <w:sz w:val="24"/>
          <w:position w:val="0"/>
          <w:color w:val="000000"/>
          <w:w w:val="95"/>
          <w:noProof w:val="true"/>
          <w:spacing w:val="-5"/>
        </w:rPr>
        <w:t>重复给药的组织分布研究指导原则</w:t>
      </w:r>
    </w:p>
    <w:p w:rsidR="005A76FB" w:rsidRDefault="005A76FB" w:rsidP="005A76FB">
      <w:pPr>
        <w:widowControl/>
        <w:jc w:val="left"/>
        <w:rPr/>
        <w:sectPr w:rsidR="005A76FB" w:rsidSect="005A76FB">
          <w:type w:val="continuous"/>
          <w:pgSz w:w="11908" w:h="16839"/>
          <w:pgMar w:top="1206" w:right="713" w:bottom="966" w:left="1073" w:header="0" w:footer="0" w:gutter="0"/>
          <w:cols w:num="1" w:equalWidth="0">
            <w:col w:w="10121" w:space="0"/>
          </w:cols>
          <w:docGrid w:type="lines" w:linePitch="312"/>
        </w:sectPr>
      </w:pPr>
    </w:p>
    <w:p w:rsidR="005A76FB" w:rsidRDefault="005A76FB" w:rsidP="005A76FB">
      <w:pPr>
        <w:spacing w:before="0" w:after="0" w:lineRule="exact" w:line="240"/>
        <w:ind w:firstLine="0" w:left="2077"/>
        <w:rPr/>
      </w:pPr>
    </w:p>
    <w:p w:rsidR="005A76FB" w:rsidRDefault="005A76FB" w:rsidP="005A76FB">
      <w:pPr>
        <w:spacing w:before="0" w:after="0" w:lineRule="exact" w:line="240"/>
        <w:ind w:firstLine="0" w:left="2077"/>
        <w:rPr/>
      </w:pPr>
    </w:p>
    <w:p w:rsidR="005A76FB" w:rsidRDefault="005A76FB" w:rsidP="005A76FB">
      <w:pPr>
        <w:spacing w:before="0" w:after="0" w:lineRule="exact" w:line="240"/>
        <w:ind w:firstLine="0" w:left="2077"/>
        <w:rPr/>
      </w:pPr>
    </w:p>
    <w:p w:rsidR="005A76FB" w:rsidRDefault="005A76FB" w:rsidP="005A76FB">
      <w:pPr>
        <w:spacing w:before="0" w:after="0" w:lineRule="exact" w:line="240"/>
        <w:ind w:firstLine="0" w:left="2077"/>
        <w:rPr/>
      </w:pPr>
    </w:p>
    <w:p w:rsidR="005A76FB" w:rsidRDefault="005A76FB" w:rsidP="005A76FB">
      <w:pPr>
        <w:spacing w:before="0" w:after="0" w:lineRule="exact" w:line="240"/>
        <w:ind w:firstLine="0" w:left="2077"/>
        <w:rPr/>
      </w:pPr>
    </w:p>
    <w:p w:rsidR="005A76FB" w:rsidRDefault="005A76FB" w:rsidP="005A76FB">
      <w:pPr>
        <w:spacing w:before="0" w:after="0" w:lineRule="exact" w:line="360"/>
        <w:ind w:firstLine="0" w:left="2077"/>
        <w:rPr/>
      </w:pPr>
    </w:p>
    <w:p w:rsidR="005A76FB" w:rsidRDefault="005A76FB" w:rsidP="005A76FB">
      <w:pPr>
        <w:widowControl/>
        <w:jc w:val="left"/>
        <w:rPr/>
        <w:sectPr w:rsidR="005A76FB" w:rsidSect="005A76FB">
          <w:type w:val="continuous"/>
          <w:pgSz w:w="11908" w:h="16839"/>
          <w:pgMar w:top="1206" w:right="713" w:bottom="966" w:left="1073" w:header="0" w:footer="0" w:gutter="0"/>
          <w:docGrid w:type="lines" w:linePitch="312"/>
        </w:sectPr>
      </w:pPr>
    </w:p>
    <w:p w:rsidR="005A76FB" w:rsidRDefault="005A76FB" w:rsidP="005A76FB">
      <w:pPr>
        <w:spacing w:before="0" w:after="0" w:line="315" w:lineRule="exact"/>
        <w:ind w:firstLine="2345" w:left="60"/>
        <w:jc w:val="left"/>
        <w:rPr/>
      </w:pPr>
      <w:r>
        <w:rPr>
          <w:rFonts w:ascii="宋体" w:eastAsia="宋体" w:hAnsi="宋体" w:cs="宋体"/>
          <w:u w:val="none"/>
          <w:sz w:val="24"/>
          <w:position w:val="3.88372803"/>
          <w:color w:val="000000"/>
          <w:noProof w:val="true"/>
          <w:spacing w:val="-5"/>
          <w:w w:val="100"/>
        </w:rPr>
        <w:t>现行</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2803"/>
          <w:color w:val="000000"/>
          <w:noProof w:val="true"/>
          <w:spacing w:val="-5"/>
          <w:w w:val="100"/>
        </w:rPr>
        <w:t>程序第</w:t>
      </w: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3.88372803"/>
          <w:color w:val="000000"/>
          <w:noProof w:val="true"/>
          <w:spacing w:val="-5"/>
          <w:w w:val="100"/>
        </w:rPr>
        <w:t>阶段推荐采用</w:t>
      </w:r>
    </w:p>
    <w:p w:rsidR="005A76FB" w:rsidRDefault="005A76FB" w:rsidP="005A76FB">
      <w:pPr>
        <w:spacing w:before="0" w:after="0" w:line="467" w:lineRule="exact"/>
        <w:ind w:firstLine="2998" w:left="60"/>
        <w:jc w:val="left"/>
        <w:rPr/>
      </w:pPr>
      <w:r>
        <w:rPr>
          <w:rFonts w:ascii="Times New Roman" w:hAnsi="Times New Roman" w:cs="Times New Roman"/>
          <w:u w:val="none"/>
          <w:sz w:val="24"/>
          <w:position w:val="0"/>
          <w:color w:val="000000"/>
          <w:noProof w:val="true"/>
          <w:spacing w:val="-3"/>
          <w:w w:val="100"/>
        </w:rPr>
        <w:t>1994</w:t>
      </w:r>
      <w:r>
        <w:rPr>
          <w:rFonts w:ascii="宋体" w:eastAsia="宋体" w:hAnsi="宋体" w:cs="宋体"/>
          <w:u w:val="none"/>
          <w:sz w:val="24"/>
          <w:position w:val="3.88372803"/>
          <w:color w:val="000000"/>
          <w:noProof w:val="true"/>
          <w:spacing w:val="-5"/>
          <w:w w:val="100"/>
        </w:rPr>
        <w:t>年</w:t>
      </w:r>
      <w:r>
        <w:rPr>
          <w:rFonts w:ascii="Times New Roman" w:hAnsi="Times New Roman" w:cs="Times New Roman"/>
          <w:u w:val="none"/>
          <w:sz w:val="24"/>
          <w:position w:val="0"/>
          <w:color w:val="000000"/>
          <w:noProof w:val="true"/>
          <w:spacing w:val="-3"/>
          <w:w w:val="100"/>
        </w:rPr>
        <w:t>10</w:t>
      </w:r>
      <w:r>
        <w:rPr>
          <w:rFonts w:ascii="宋体" w:eastAsia="宋体" w:hAnsi="宋体" w:cs="宋体"/>
          <w:u w:val="none"/>
          <w:sz w:val="24"/>
          <w:position w:val="3.88372803"/>
          <w:color w:val="000000"/>
          <w:noProof w:val="true"/>
          <w:spacing w:val="-5"/>
          <w:w w:val="100"/>
        </w:rPr>
        <w:t>月</w:t>
      </w:r>
      <w:r>
        <w:rPr>
          <w:rFonts w:ascii="Times New Roman" w:hAnsi="Times New Roman" w:cs="Times New Roman"/>
          <w:u w:val="none"/>
          <w:sz w:val="24"/>
          <w:position w:val="0"/>
          <w:color w:val="000000"/>
          <w:noProof w:val="true"/>
          <w:spacing w:val="-3"/>
          <w:w w:val="100"/>
        </w:rPr>
        <w:t>27</w:t>
      </w:r>
      <w:r>
        <w:rPr>
          <w:rFonts w:ascii="宋体" w:eastAsia="宋体" w:hAnsi="宋体" w:cs="宋体"/>
          <w:u w:val="none"/>
          <w:sz w:val="24"/>
          <w:position w:val="3.88372803"/>
          <w:color w:val="000000"/>
          <w:noProof w:val="true"/>
          <w:spacing w:val="-5"/>
          <w:w w:val="100"/>
        </w:rPr>
        <w:t>日</w:t>
      </w:r>
    </w:p>
    <w:p w:rsidR="005A76FB" w:rsidRDefault="005A76FB" w:rsidP="005A76FB">
      <w:pPr>
        <w:spacing w:before="0" w:after="0" w:lineRule="exact" w:line="240"/>
        <w:ind w:firstLine="2998" w:left="60"/>
        <w:rPr/>
      </w:pPr>
    </w:p>
    <w:p w:rsidR="005A76FB" w:rsidRDefault="005A76FB" w:rsidP="005A76FB">
      <w:pPr>
        <w:spacing w:before="0" w:after="0" w:lineRule="exact" w:line="240"/>
        <w:ind w:firstLine="2998" w:left="60"/>
        <w:rPr/>
      </w:pPr>
    </w:p>
    <w:p w:rsidR="005A76FB" w:rsidRDefault="005A76FB" w:rsidP="005A76FB">
      <w:pPr>
        <w:spacing w:before="0" w:after="0" w:line="401" w:lineRule="exact"/>
        <w:ind w:firstLine="480" w:left="60"/>
        <w:jc w:val="left"/>
        <w:rPr/>
      </w:pPr>
      <w:r>
        <w:rPr>
          <w:rFonts w:ascii="宋体" w:eastAsia="宋体" w:hAnsi="宋体" w:cs="宋体"/>
          <w:u w:val="none"/>
          <w:sz w:val="24"/>
          <w:position w:val="3.88372803"/>
          <w:color w:val="000000"/>
          <w:noProof w:val="true"/>
          <w:spacing w:val="-5"/>
          <w:w w:val="100"/>
        </w:rPr>
        <w:t>根据</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2803"/>
          <w:color w:val="000000"/>
          <w:noProof w:val="true"/>
          <w:spacing w:val="-5"/>
          <w:w w:val="100"/>
        </w:rPr>
        <w:t>程序，有关</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2803"/>
          <w:color w:val="000000"/>
          <w:noProof w:val="true"/>
          <w:spacing w:val="-5"/>
          <w:w w:val="100"/>
        </w:rPr>
        <w:t>专家工作组起草了该指导原则，并与管理部门</w:t>
      </w:r>
    </w:p>
    <w:p w:rsidR="005A76FB" w:rsidRDefault="005A76FB" w:rsidP="005A76FB">
      <w:pPr>
        <w:spacing w:before="0" w:after="0" w:line="467" w:lineRule="exact"/>
        <w:ind w:firstLine="0" w:left="60"/>
        <w:jc w:val="left"/>
        <w:rPr/>
      </w:pPr>
      <w:r>
        <w:rPr>
          <w:rFonts w:ascii="宋体" w:hAnsi="宋体" w:cs="宋体"/>
          <w:u w:val="none"/>
          <w:sz w:val="24"/>
          <w:position w:val="3.88372803"/>
          <w:color w:val="000000"/>
          <w:noProof w:val="true"/>
          <w:spacing w:val="-5"/>
          <w:w w:val="100"/>
        </w:rPr>
        <w:t>进行了讨论。在</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2803"/>
          <w:color w:val="000000"/>
          <w:noProof w:val="true"/>
          <w:spacing w:val="-5"/>
          <w:w w:val="100"/>
        </w:rPr>
        <w:t>程序第</w:t>
      </w:r>
      <w:r>
        <w:rPr>
          <w:rFonts w:ascii="Times New Roman" w:hAnsi="Times New Roman" w:cs="Times New Roman"/>
          <w:u w:val="none"/>
          <w:sz w:val="24"/>
          <w:position w:val="0"/>
          <w:color w:val="000000"/>
          <w:noProof w:val="true"/>
          <w:spacing w:val="-3"/>
          <w:w w:val="100"/>
        </w:rPr>
        <w:t>4</w:t>
      </w:r>
      <w:r>
        <w:rPr>
          <w:rFonts w:ascii="Calibri" w:hAnsi="Calibri" w:cs="Calibri"/>
          <w:u w:val="none"/>
          <w:sz w:val="24"/>
          <w:color w:val="000000"/>
          <w:noProof w:val="true"/>
          <w:spacing w:val="0"/>
          <w:w w:val="216"/>
        </w:rPr>
        <w:t> </w:t>
      </w:r>
      <w:r>
        <w:rPr>
          <w:rFonts w:ascii="宋体" w:hAnsi="宋体" w:cs="宋体"/>
          <w:u w:val="none"/>
          <w:sz w:val="24"/>
          <w:position w:val="3.88372803"/>
          <w:color w:val="000000"/>
          <w:noProof w:val="true"/>
          <w:spacing w:val="-5"/>
          <w:w w:val="100"/>
        </w:rPr>
        <w:t>阶段，最终草案被推荐给欧洲联盟、日本和美</w:t>
      </w:r>
    </w:p>
    <w:p w:rsidR="005A76FB" w:rsidRDefault="005A76FB" w:rsidP="005A76FB">
      <w:pPr>
        <w:spacing w:before="0" w:after="0" w:line="429" w:lineRule="exact"/>
        <w:ind w:firstLine="0" w:left="60"/>
        <w:jc w:val="left"/>
        <w:rPr/>
      </w:pPr>
      <w:r>
        <w:rPr>
          <w:rFonts w:ascii="宋体" w:hAnsi="宋体" w:cs="宋体"/>
          <w:u w:val="none"/>
          <w:sz w:val="24"/>
          <w:position w:val="0"/>
          <w:color w:val="000000"/>
          <w:noProof w:val="true"/>
          <w:spacing w:val="-5"/>
          <w:w w:val="100"/>
        </w:rPr>
        <w:t>国的管理部门采用。</w:t>
      </w:r>
    </w:p>
    <w:p w:rsidR="005A76FB" w:rsidRDefault="005A76FB" w:rsidP="005A76FB">
      <w:pPr>
        <w:widowControl/>
        <w:jc w:val="left"/>
        <w:rPr/>
        <w:sectPr w:rsidR="005A76FB" w:rsidSect="005A76FB">
          <w:type w:val="continuous"/>
          <w:pgSz w:w="11908" w:h="16839"/>
          <w:pgMar w:top="1206" w:right="713" w:bottom="966" w:left="1073" w:header="0" w:footer="0" w:gutter="0"/>
          <w:cols w:num="1" w:equalWidth="0">
            <w:col w:w="10121" w:space="0"/>
          </w:cols>
          <w:docGrid w:type="lines" w:linePitch="312"/>
        </w:sectPr>
      </w:pPr>
    </w:p>
    <w:bookmarkStart w:id="2" w:name="2"/>
    <w:bookmarkEnd w:id="2"/>
    <w:p w:rsidR="005A76FB" w:rsidRDefault="005A76FB" w:rsidP="005A76FB">
      <w:pPr>
        <w:spacing w:before="0" w:after="0" w:line="301" w:lineRule="exact"/>
        <w:ind w:left="-1072" w:firstLine="4344"/>
        <w:jc w:val="left"/>
        <w:rPr/>
      </w:pPr>
      <w:r>
        <w:rPr>
          <w:rFonts w:ascii="宋体" w:eastAsia="宋体" w:hAnsi="宋体" w:cs="宋体"/>
          <w:u w:val="none"/>
          <w:sz w:val="24"/>
          <w:position w:val="0"/>
          <w:color w:val="000000"/>
          <w:noProof w:val="true"/>
          <w:spacing w:val="-5"/>
          <w:w w:val="100"/>
        </w:rPr>
        <w:t>药代动力学：</w:t>
      </w:r>
    </w:p>
    <w:p w:rsidR="005A76FB" w:rsidRDefault="005A76FB" w:rsidP="005A76FB">
      <w:pPr>
        <w:spacing w:before="0" w:after="0" w:line="467" w:lineRule="exact"/>
        <w:ind w:firstLine="3532" w:left="-1072"/>
        <w:jc w:val="left"/>
        <w:rPr/>
      </w:pPr>
      <w:r>
        <w:rPr>
          <w:rFonts w:ascii="宋体" w:eastAsia="宋体" w:hAnsi="宋体" w:cs="宋体"/>
          <w:u w:val="none"/>
          <w:sz w:val="24"/>
          <w:position w:val="0"/>
          <w:color w:val="000000"/>
          <w:noProof w:val="true"/>
          <w:spacing w:val="-5"/>
          <w:w w:val="100"/>
        </w:rPr>
        <w:t>重复给药的组织分布研究指导原则</w:t>
      </w:r>
    </w:p>
    <w:p w:rsidR="005A76FB" w:rsidRDefault="005A76FB" w:rsidP="005A76FB">
      <w:pPr>
        <w:spacing w:before="0" w:after="0" w:lineRule="exact" w:line="240"/>
        <w:ind w:firstLine="3532" w:left="-1072"/>
        <w:rPr/>
      </w:pPr>
    </w:p>
    <w:p w:rsidR="005A76FB" w:rsidRDefault="005A76FB" w:rsidP="005A76FB">
      <w:pPr>
        <w:spacing w:before="0" w:after="0" w:lineRule="exact" w:line="240"/>
        <w:ind w:firstLine="3532" w:left="-1072"/>
        <w:rPr/>
      </w:pPr>
    </w:p>
    <w:p w:rsidR="005A76FB" w:rsidRDefault="005A76FB" w:rsidP="005A76FB">
      <w:pPr>
        <w:spacing w:before="0" w:after="0" w:line="440" w:lineRule="exact"/>
        <w:ind w:firstLine="4251" w:left="-1072"/>
        <w:jc w:val="left"/>
        <w:rPr/>
      </w:pPr>
      <w:r>
        <w:rPr>
          <w:rFonts w:ascii="宋体" w:eastAsia="宋体" w:hAnsi="宋体" w:cs="宋体"/>
          <w:u w:val="none"/>
          <w:sz w:val="24"/>
          <w:position w:val="3.88375854"/>
          <w:color w:val="000000"/>
          <w:noProof w:val="true"/>
          <w:spacing w:val="-5"/>
          <w:w w:val="100"/>
        </w:rPr>
        <w:t>三方协调的</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5854"/>
          <w:color w:val="000000"/>
          <w:noProof w:val="true"/>
          <w:spacing w:val="-5"/>
          <w:w w:val="100"/>
        </w:rPr>
        <w:t>指导原则</w:t>
      </w:r>
    </w:p>
    <w:p w:rsidR="005A76FB" w:rsidRDefault="005A76FB" w:rsidP="005A76FB">
      <w:pPr>
        <w:spacing w:before="0" w:after="0" w:lineRule="exact" w:line="240"/>
        <w:ind w:firstLine="4251" w:left="-1072"/>
        <w:rPr/>
      </w:pPr>
    </w:p>
    <w:p w:rsidR="005A76FB" w:rsidRDefault="005A76FB" w:rsidP="005A76FB">
      <w:pPr>
        <w:spacing w:before="0" w:after="0" w:lineRule="exact" w:line="240"/>
        <w:ind w:firstLine="4251" w:left="-1072"/>
        <w:rPr/>
      </w:pPr>
    </w:p>
    <w:p w:rsidR="005A76FB" w:rsidRDefault="005A76FB" w:rsidP="005A76FB">
      <w:pPr>
        <w:spacing w:before="0" w:after="0" w:line="401" w:lineRule="exact"/>
        <w:ind w:firstLine="1613" w:left="-1072"/>
        <w:jc w:val="left"/>
        <w:rPr/>
      </w:pPr>
      <w:r>
        <w:rPr>
          <w:rFonts w:ascii="宋体" w:eastAsia="宋体" w:hAnsi="宋体" w:cs="宋体"/>
          <w:u w:val="none"/>
          <w:sz w:val="24"/>
          <w:position w:val="3.88375854"/>
          <w:color w:val="000000"/>
          <w:noProof w:val="true"/>
          <w:spacing w:val="-5"/>
          <w:w w:val="100"/>
        </w:rPr>
        <w:t>在</w:t>
      </w: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5854"/>
          <w:color w:val="000000"/>
          <w:noProof w:val="true"/>
          <w:spacing w:val="-5"/>
          <w:w w:val="100"/>
        </w:rPr>
        <w:t>指导委员会于</w:t>
      </w:r>
      <w:r>
        <w:rPr>
          <w:rFonts w:ascii="Times New Roman" w:hAnsi="Times New Roman" w:cs="Times New Roman"/>
          <w:u w:val="none"/>
          <w:sz w:val="24"/>
          <w:position w:val="0"/>
          <w:color w:val="000000"/>
          <w:noProof w:val="true"/>
          <w:spacing w:val="-3"/>
          <w:w w:val="100"/>
        </w:rPr>
        <w:t>1994</w:t>
      </w:r>
      <w:r>
        <w:rPr>
          <w:rFonts w:ascii="宋体" w:eastAsia="宋体" w:hAnsi="宋体" w:cs="宋体"/>
          <w:u w:val="none"/>
          <w:sz w:val="24"/>
          <w:position w:val="3.88375854"/>
          <w:color w:val="000000"/>
          <w:noProof w:val="true"/>
          <w:spacing w:val="-5"/>
          <w:w w:val="100"/>
        </w:rPr>
        <w:t>年</w:t>
      </w:r>
      <w:r>
        <w:rPr>
          <w:rFonts w:ascii="Times New Roman" w:hAnsi="Times New Roman" w:cs="Times New Roman"/>
          <w:u w:val="none"/>
          <w:sz w:val="24"/>
          <w:position w:val="0"/>
          <w:color w:val="000000"/>
          <w:noProof w:val="true"/>
          <w:spacing w:val="-3"/>
          <w:w w:val="100"/>
        </w:rPr>
        <w:t>10</w:t>
      </w:r>
      <w:r>
        <w:rPr>
          <w:rFonts w:ascii="宋体" w:eastAsia="宋体" w:hAnsi="宋体" w:cs="宋体"/>
          <w:u w:val="none"/>
          <w:sz w:val="24"/>
          <w:position w:val="3.88375854"/>
          <w:color w:val="000000"/>
          <w:noProof w:val="true"/>
          <w:spacing w:val="-5"/>
          <w:w w:val="100"/>
        </w:rPr>
        <w:t>月</w:t>
      </w:r>
      <w:r>
        <w:rPr>
          <w:rFonts w:ascii="Times New Roman" w:hAnsi="Times New Roman" w:cs="Times New Roman"/>
          <w:u w:val="none"/>
          <w:sz w:val="24"/>
          <w:position w:val="0"/>
          <w:color w:val="000000"/>
          <w:noProof w:val="true"/>
          <w:spacing w:val="-3"/>
          <w:w w:val="100"/>
        </w:rPr>
        <w:t>27</w:t>
      </w:r>
      <w:r>
        <w:rPr>
          <w:rFonts w:ascii="宋体" w:eastAsia="宋体" w:hAnsi="宋体" w:cs="宋体"/>
          <w:u w:val="none"/>
          <w:sz w:val="24"/>
          <w:position w:val="3.88375854"/>
          <w:color w:val="000000"/>
          <w:noProof w:val="true"/>
          <w:spacing w:val="-5"/>
          <w:w w:val="100"/>
        </w:rPr>
        <w:t>日召开的会议上，该指导原则已进入</w:t>
      </w:r>
    </w:p>
    <w:p w:rsidR="005A76FB" w:rsidRDefault="005A76FB" w:rsidP="005A76FB">
      <w:pPr>
        <w:spacing w:before="0" w:after="0" w:line="467" w:lineRule="exact"/>
        <w:ind w:firstLine="1133" w:left="-1072"/>
        <w:jc w:val="left"/>
        <w:rPr/>
      </w:pPr>
      <w:r>
        <w:rPr>
          <w:rFonts w:ascii="Times New Roman" w:hAnsi="Times New Roman" w:cs="Times New Roman"/>
          <w:u w:val="none"/>
          <w:sz w:val="24"/>
          <w:position w:val="0"/>
          <w:color w:val="000000"/>
          <w:noProof w:val="true"/>
          <w:spacing w:val="-3"/>
          <w:w w:val="100"/>
        </w:rPr>
        <w:t>ICH</w:t>
      </w:r>
      <w:r>
        <w:rPr>
          <w:rFonts w:ascii="宋体" w:eastAsia="宋体" w:hAnsi="宋体" w:cs="宋体"/>
          <w:u w:val="none"/>
          <w:sz w:val="24"/>
          <w:position w:val="3.88375854"/>
          <w:color w:val="000000"/>
          <w:noProof w:val="true"/>
          <w:spacing w:val="-5"/>
          <w:w w:val="100"/>
        </w:rPr>
        <w:t>程序第</w:t>
      </w:r>
      <w:r>
        <w:rPr>
          <w:rFonts w:ascii="Times New Roman" w:hAnsi="Times New Roman" w:cs="Times New Roman"/>
          <w:u w:val="none"/>
          <w:sz w:val="24"/>
          <w:position w:val="0"/>
          <w:color w:val="000000"/>
          <w:noProof w:val="true"/>
          <w:spacing w:val="-3"/>
          <w:w w:val="100"/>
        </w:rPr>
        <w:t>4</w:t>
      </w:r>
      <w:r>
        <w:rPr>
          <w:rFonts w:ascii="宋体" w:eastAsia="宋体" w:hAnsi="宋体" w:cs="宋体"/>
          <w:u w:val="none"/>
          <w:sz w:val="24"/>
          <w:position w:val="3.88375854"/>
          <w:color w:val="000000"/>
          <w:noProof w:val="true"/>
          <w:spacing w:val="-5"/>
          <w:w w:val="100"/>
        </w:rPr>
        <w:t>阶段，被推荐给</w:t>
      </w:r>
      <w:r>
        <w:rPr>
          <w:rFonts w:ascii="Times New Roman" w:hAnsi="Times New Roman" w:cs="Times New Roman"/>
          <w:u w:val="none"/>
          <w:sz w:val="24"/>
          <w:position w:val="0"/>
          <w:color w:val="000000"/>
          <w:noProof w:val="true"/>
          <w:spacing w:val="-3"/>
          <w:w w:val="100"/>
        </w:rPr>
        <w:t>ICH</w:t>
      </w:r>
      <w:r>
        <w:rPr>
          <w:rFonts w:ascii="宋体" w:hAnsi="宋体" w:cs="宋体"/>
          <w:u w:val="none"/>
          <w:sz w:val="24"/>
          <w:position w:val="3.88375854"/>
          <w:color w:val="000000"/>
          <w:noProof w:val="true"/>
          <w:spacing w:val="-5"/>
          <w:w w:val="100"/>
        </w:rPr>
        <w:t>三方的管理部门采用。</w:t>
      </w:r>
    </w:p>
    <w:p w:rsidR="005A76FB" w:rsidRDefault="005A76FB" w:rsidP="005A76FB">
      <w:pPr>
        <w:spacing w:before="0" w:after="0" w:lineRule="exact" w:line="240"/>
        <w:ind w:firstLine="1133" w:left="-1072"/>
        <w:rPr/>
      </w:pPr>
    </w:p>
    <w:p w:rsidR="005A76FB" w:rsidRDefault="005A76FB" w:rsidP="005A76FB">
      <w:pPr>
        <w:spacing w:before="0" w:after="0" w:lineRule="exact" w:line="240"/>
        <w:ind w:firstLine="1133" w:left="-1072"/>
        <w:rPr/>
      </w:pPr>
    </w:p>
    <w:p w:rsidR="005A76FB" w:rsidRDefault="005A76FB" w:rsidP="005A76FB">
      <w:pPr>
        <w:spacing w:before="0" w:after="0" w:line="365" w:lineRule="exact"/>
        <w:ind w:firstLine="1133" w:left="-1072"/>
        <w:jc w:val="left"/>
        <w:rPr/>
      </w:pPr>
      <w:r>
        <w:rPr>
          <w:rFonts w:ascii="黑体" w:eastAsia="黑体" w:hAnsi="黑体" w:cs="黑体"/>
          <w:u w:val="none"/>
          <w:sz w:val="24"/>
          <w:position w:val="0"/>
          <w:color w:val="000000"/>
          <w:noProof w:val="true"/>
          <w:spacing w:val="-5"/>
          <w:w w:val="100"/>
        </w:rPr>
        <w:t>前言</w:t>
      </w:r>
    </w:p>
    <w:p w:rsidR="005A76FB" w:rsidRDefault="005A76FB" w:rsidP="005A76FB">
      <w:pPr>
        <w:spacing w:before="0" w:after="0" w:line="465" w:lineRule="exact"/>
        <w:ind w:firstLine="1613" w:left="-1072"/>
        <w:jc w:val="left"/>
        <w:rPr/>
      </w:pPr>
      <w:r>
        <w:rPr>
          <w:rFonts w:ascii="宋体" w:hAnsi="宋体" w:cs="宋体"/>
          <w:u w:val="none"/>
          <w:sz w:val="24"/>
          <w:position w:val="0"/>
          <w:color w:val="000000"/>
          <w:noProof w:val="true"/>
          <w:spacing w:val="-7"/>
          <w:w w:val="100"/>
        </w:rPr>
        <w:t>对一个化合物的吸收、分布、代谢和排泄的全面认知，在阐述药理学和</w:t>
      </w:r>
    </w:p>
    <w:p w:rsidR="005A76FB" w:rsidRDefault="005A76FB" w:rsidP="005A76FB">
      <w:pPr>
        <w:spacing w:before="0" w:after="0" w:lineRule="exact" w:line="191"/>
        <w:ind w:firstLine="1613" w:left="-1072"/>
        <w:rPr/>
      </w:pPr>
    </w:p>
    <w:p w:rsidR="005A76FB" w:rsidRDefault="005A76FB" w:rsidP="005A76FB">
      <w:pPr>
        <w:spacing w:before="0" w:after="0" w:line="315" w:lineRule="exact"/>
        <w:ind w:firstLine="1133" w:left="-1072"/>
        <w:jc w:val="left"/>
        <w:rPr/>
      </w:pPr>
      <w:r>
        <w:rPr>
          <w:rFonts w:ascii="宋体" w:hAnsi="宋体" w:cs="宋体"/>
          <w:u w:val="none"/>
          <w:sz w:val="24"/>
          <w:position w:val="3.88372803"/>
          <w:color w:val="000000"/>
          <w:noProof w:val="true"/>
          <w:spacing w:val="-5"/>
          <w:w w:val="100"/>
        </w:rPr>
        <w:t>毒理学研究是很重要的。组织分布研究对化合物和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2803"/>
          <w:color w:val="000000"/>
          <w:noProof w:val="true"/>
          <w:spacing w:val="-5"/>
          <w:w w:val="100"/>
        </w:rPr>
        <w:t>或代谢产物的分布和蓄</w:t>
      </w:r>
    </w:p>
    <w:p w:rsidR="005A76FB" w:rsidRDefault="005A76FB" w:rsidP="005A76FB">
      <w:pPr>
        <w:spacing w:before="0" w:after="0" w:line="429" w:lineRule="exact"/>
        <w:ind w:firstLine="1133" w:left="-1072"/>
        <w:jc w:val="left"/>
        <w:rPr/>
      </w:pPr>
      <w:r>
        <w:rPr>
          <w:rFonts w:ascii="宋体" w:eastAsia="宋体" w:hAnsi="宋体" w:cs="宋体"/>
          <w:u w:val="none"/>
          <w:sz w:val="24"/>
          <w:position w:val="0"/>
          <w:color w:val="000000"/>
          <w:noProof w:val="true"/>
          <w:spacing w:val="-7"/>
          <w:w w:val="100"/>
        </w:rPr>
        <w:t>积的信息，尤其在潜在作用部位分布和蓄积的相关性信息是必要的；该信息</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可能有助于毒理学和药理学研究的设计及解释这些试验的结果。</w:t>
      </w:r>
    </w:p>
    <w:p w:rsidR="005A76FB" w:rsidRDefault="005A76FB" w:rsidP="005A76FB">
      <w:pPr>
        <w:spacing w:before="0" w:after="0" w:line="467" w:lineRule="exact"/>
        <w:ind w:firstLine="1553" w:left="-1072"/>
        <w:jc w:val="left"/>
        <w:rPr/>
      </w:pPr>
      <w:r>
        <w:rPr>
          <w:rFonts w:ascii="宋体" w:hAnsi="宋体" w:cs="宋体"/>
          <w:u w:val="none"/>
          <w:sz w:val="24"/>
          <w:position w:val="0"/>
          <w:color w:val="000000"/>
          <w:noProof w:val="true"/>
          <w:spacing w:val="-5"/>
          <w:w w:val="100"/>
        </w:rPr>
        <w:t>在欧洲联盟、美国和日本，将单次给药的组织分布研究作为非临床研究</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的一部分已得到普遍认可。这些研究通常可提供足够的有关组织分布信息。</w:t>
      </w:r>
    </w:p>
    <w:p w:rsidR="005A76FB" w:rsidRDefault="005A76FB" w:rsidP="005A76FB">
      <w:pPr>
        <w:spacing w:before="0" w:after="0" w:line="467" w:lineRule="exact"/>
        <w:ind w:firstLine="1553" w:left="-1072"/>
        <w:jc w:val="left"/>
        <w:rPr/>
      </w:pPr>
      <w:r>
        <w:rPr>
          <w:rFonts w:ascii="宋体" w:hAnsi="宋体" w:cs="宋体"/>
          <w:u w:val="none"/>
          <w:sz w:val="24"/>
          <w:position w:val="0"/>
          <w:color w:val="000000"/>
          <w:noProof w:val="true"/>
          <w:spacing w:val="-5"/>
          <w:w w:val="100"/>
        </w:rPr>
        <w:t>对于重复给药的组织分布试验尚无统一的要求。但是，有些情况下重复</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给药评价可能获得重要信息。</w:t>
      </w:r>
    </w:p>
    <w:p w:rsidR="005A76FB" w:rsidRDefault="005A76FB" w:rsidP="005A76FB">
      <w:pPr>
        <w:spacing w:before="0" w:after="0" w:line="467" w:lineRule="exact"/>
        <w:ind w:firstLine="1553" w:left="-1072"/>
        <w:jc w:val="left"/>
        <w:rPr/>
      </w:pPr>
      <w:r>
        <w:rPr>
          <w:rFonts w:ascii="宋体" w:eastAsia="宋体" w:hAnsi="宋体" w:cs="宋体"/>
          <w:u w:val="none"/>
          <w:sz w:val="24"/>
          <w:position w:val="0"/>
          <w:color w:val="000000"/>
          <w:noProof w:val="true"/>
          <w:spacing w:val="-5"/>
          <w:w w:val="100"/>
        </w:rPr>
        <w:t>本文为何时需考虑进行重复给药的组织分布研究以及如何进行这些研究</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提供指导。</w:t>
      </w:r>
    </w:p>
    <w:p w:rsidR="005A76FB" w:rsidRDefault="005A76FB" w:rsidP="005A76FB">
      <w:pPr>
        <w:spacing w:before="0" w:after="0" w:lineRule="exact" w:line="240"/>
        <w:ind w:firstLine="1133" w:left="-1072"/>
        <w:rPr/>
      </w:pPr>
    </w:p>
    <w:p w:rsidR="005A76FB" w:rsidRDefault="005A76FB" w:rsidP="005A76FB">
      <w:pPr>
        <w:spacing w:before="0" w:after="0" w:lineRule="exact" w:line="240"/>
        <w:ind w:firstLine="1133" w:left="-1072"/>
        <w:rPr/>
      </w:pPr>
    </w:p>
    <w:p w:rsidR="005A76FB" w:rsidRDefault="005A76FB" w:rsidP="005A76FB">
      <w:pPr>
        <w:spacing w:before="0" w:after="0" w:line="402" w:lineRule="exact"/>
        <w:ind w:firstLine="1133" w:left="-1072"/>
        <w:jc w:val="left"/>
        <w:rPr/>
      </w:pPr>
      <w:r>
        <w:rPr>
          <w:rFonts w:ascii="黑体" w:eastAsia="黑体" w:hAnsi="黑体" w:cs="黑体"/>
          <w:u w:val="none"/>
          <w:sz w:val="24"/>
          <w:position w:val="0"/>
          <w:color w:val="000000"/>
          <w:noProof w:val="true"/>
          <w:spacing w:val="-5"/>
          <w:w w:val="100"/>
        </w:rPr>
        <w:t>以下情况应考虑进行重复给药的组织分布研究：</w:t>
      </w:r>
    </w:p>
    <w:p w:rsidR="005A76FB" w:rsidRDefault="005A76FB" w:rsidP="005A76FB">
      <w:pPr>
        <w:spacing w:before="0" w:after="0" w:lineRule="exact" w:line="189"/>
        <w:ind w:firstLine="1133" w:left="-1072"/>
        <w:rPr/>
      </w:pPr>
    </w:p>
    <w:p w:rsidR="005A76FB" w:rsidRDefault="005A76FB" w:rsidP="005A76FB">
      <w:pPr>
        <w:spacing w:before="0" w:after="0" w:line="315" w:lineRule="exact"/>
        <w:ind w:firstLine="1133" w:left="-1072"/>
        <w:jc w:val="left"/>
        <w:rPr/>
      </w:pPr>
      <w:r>
        <w:rPr>
          <w:rFonts w:ascii="Times New Roman" w:hAnsi="Times New Roman" w:cs="Times New Roman"/>
          <w:u w:val="none"/>
          <w:sz w:val="24"/>
          <w:position w:val="0"/>
          <w:color w:val="000000"/>
          <w:noProof w:val="true"/>
          <w:spacing w:val="-2"/>
          <w:w w:val="100"/>
        </w:rPr>
        <w:t>1.</w:t>
      </w:r>
      <w:r>
        <w:rPr>
          <w:rFonts w:ascii="Calibri" w:hAnsi="Calibri" w:cs="Calibri"/>
          <w:u w:val="none"/>
          <w:sz w:val="24"/>
          <w:color w:val="000000"/>
          <w:noProof w:val="true"/>
          <w:spacing w:val="0"/>
          <w:w w:val="216"/>
        </w:rPr>
        <w:t> </w:t>
      </w:r>
      <w:r>
        <w:rPr>
          <w:rFonts w:ascii="宋体" w:eastAsia="宋体" w:hAnsi="宋体" w:cs="宋体"/>
          <w:u w:val="none"/>
          <w:sz w:val="24"/>
          <w:position w:val="3.88378906"/>
          <w:color w:val="000000"/>
          <w:noProof w:val="true"/>
          <w:spacing w:val="-11"/>
          <w:w w:val="100"/>
        </w:rPr>
        <w:t>当单次给药的组织分布研究提示，受试物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或代谢物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在器官或组织的表</w:t>
      </w:r>
    </w:p>
    <w:p w:rsidR="005A76FB" w:rsidRDefault="005A76FB" w:rsidP="005A76FB">
      <w:pPr>
        <w:spacing w:before="0" w:after="0" w:line="467" w:lineRule="exact"/>
        <w:ind w:firstLine="1133" w:left="-1072"/>
        <w:jc w:val="left"/>
        <w:rPr/>
      </w:pPr>
      <w:r>
        <w:rPr>
          <w:rFonts w:ascii="宋体" w:eastAsia="宋体" w:hAnsi="宋体" w:cs="宋体"/>
          <w:u w:val="none"/>
          <w:sz w:val="24"/>
          <w:position w:val="3.88378906"/>
          <w:color w:val="000000"/>
          <w:noProof w:val="true"/>
          <w:spacing w:val="-5"/>
          <w:w w:val="100"/>
        </w:rPr>
        <w:t>观半衰期明显超过其血浆消除相的表观半衰期</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并同时超过毒性研究给药间</w:t>
      </w:r>
    </w:p>
    <w:p w:rsidR="005A76FB" w:rsidRDefault="005A76FB" w:rsidP="005A76FB">
      <w:pPr>
        <w:spacing w:before="0" w:after="0" w:line="429" w:lineRule="exact"/>
        <w:ind w:firstLine="1133" w:left="-1072"/>
        <w:jc w:val="left"/>
        <w:rPr/>
      </w:pPr>
      <w:r>
        <w:rPr>
          <w:rFonts w:ascii="宋体" w:hAnsi="宋体" w:cs="宋体"/>
          <w:u w:val="none"/>
          <w:sz w:val="24"/>
          <w:position w:val="0"/>
          <w:color w:val="000000"/>
          <w:noProof w:val="true"/>
          <w:spacing w:val="-5"/>
          <w:w w:val="100"/>
        </w:rPr>
        <w:t>隔的两倍，可能需要进行合适的重复给药的组织分布研究。</w:t>
      </w:r>
    </w:p>
    <w:p w:rsidR="005A76FB" w:rsidRDefault="005A76FB" w:rsidP="005A76FB">
      <w:pPr>
        <w:spacing w:before="0" w:after="0" w:lineRule="exact" w:line="191"/>
        <w:ind w:firstLine="1133" w:left="-1072"/>
        <w:rPr/>
      </w:pPr>
    </w:p>
    <w:p w:rsidR="005A76FB" w:rsidRDefault="005A76FB" w:rsidP="005A76FB">
      <w:pPr>
        <w:spacing w:before="0" w:after="0" w:line="315" w:lineRule="exact"/>
        <w:ind w:firstLine="1133" w:left="-1072"/>
        <w:jc w:val="left"/>
        <w:rPr/>
      </w:pPr>
      <w:r>
        <w:rPr>
          <w:rFonts w:ascii="Times New Roman" w:hAnsi="Times New Roman" w:cs="Times New Roman"/>
          <w:u w:val="none"/>
          <w:sz w:val="24"/>
          <w:position w:val="0"/>
          <w:color w:val="000000"/>
          <w:noProof w:val="true"/>
          <w:spacing w:val="-2"/>
          <w:w w:val="100"/>
        </w:rPr>
        <w:t>2.</w:t>
      </w:r>
      <w:r>
        <w:rPr>
          <w:rFonts w:ascii="Calibri" w:hAnsi="Calibri" w:cs="Calibri"/>
          <w:u w:val="none"/>
          <w:sz w:val="24"/>
          <w:color w:val="000000"/>
          <w:noProof w:val="true"/>
          <w:spacing w:val="0"/>
          <w:w w:val="216"/>
        </w:rPr>
        <w:t> </w:t>
      </w:r>
      <w:r>
        <w:rPr>
          <w:rFonts w:ascii="宋体" w:eastAsia="宋体" w:hAnsi="宋体" w:cs="宋体"/>
          <w:u w:val="none"/>
          <w:sz w:val="24"/>
          <w:position w:val="3.88378906"/>
          <w:color w:val="000000"/>
          <w:noProof w:val="true"/>
          <w:spacing w:val="-5"/>
          <w:w w:val="100"/>
        </w:rPr>
        <w:t>在重复给药的药代动力学或毒代动力学研究中，如果循环中的化合物</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8906"/>
          <w:color w:val="000000"/>
          <w:noProof w:val="true"/>
          <w:spacing w:val="-5"/>
          <w:w w:val="100"/>
        </w:rPr>
        <w:t>代</w:t>
      </w:r>
    </w:p>
    <w:p w:rsidR="005A76FB" w:rsidRDefault="005A76FB" w:rsidP="005A76FB">
      <w:pPr>
        <w:spacing w:before="0" w:after="0" w:line="429" w:lineRule="exact"/>
        <w:ind w:firstLine="1133" w:left="-1072"/>
        <w:jc w:val="left"/>
        <w:rPr/>
      </w:pPr>
      <w:r>
        <w:rPr>
          <w:rFonts w:ascii="宋体" w:eastAsia="宋体" w:hAnsi="宋体" w:cs="宋体"/>
          <w:u w:val="none"/>
          <w:sz w:val="24"/>
          <w:position w:val="0"/>
          <w:color w:val="000000"/>
          <w:noProof w:val="true"/>
          <w:spacing w:val="-7"/>
          <w:w w:val="100"/>
        </w:rPr>
        <w:t>谢产物的稳态水平明显高于单次给药动力学所预期的水平，那么，应考虑进</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行重复给药的组织分布研究。</w:t>
      </w:r>
    </w:p>
    <w:p w:rsidR="005A76FB" w:rsidRDefault="005A76FB" w:rsidP="005A76FB">
      <w:pPr>
        <w:spacing w:before="0" w:after="0" w:lineRule="exact" w:line="191"/>
        <w:ind w:firstLine="1133" w:left="-1072"/>
        <w:rPr/>
      </w:pPr>
    </w:p>
    <w:p w:rsidR="005A76FB" w:rsidRDefault="005A76FB" w:rsidP="005A76FB">
      <w:pPr>
        <w:spacing w:before="0" w:after="0" w:line="315" w:lineRule="exact"/>
        <w:ind w:firstLine="1133" w:left="-1072"/>
        <w:jc w:val="left"/>
        <w:rPr/>
      </w:pPr>
      <w:r>
        <w:rPr>
          <w:rFonts w:ascii="Times New Roman" w:hAnsi="Times New Roman" w:cs="Times New Roman"/>
          <w:u w:val="none"/>
          <w:sz w:val="24"/>
          <w:position w:val="0"/>
          <w:color w:val="000000"/>
          <w:noProof w:val="true"/>
          <w:spacing w:val="-2"/>
          <w:w w:val="100"/>
        </w:rPr>
        <w:t>3.</w:t>
      </w:r>
      <w:r>
        <w:rPr>
          <w:rFonts w:ascii="Calibri" w:hAnsi="Calibri" w:cs="Calibri"/>
          <w:u w:val="none"/>
          <w:sz w:val="24"/>
          <w:color w:val="000000"/>
          <w:noProof w:val="true"/>
          <w:spacing w:val="0"/>
          <w:w w:val="216"/>
        </w:rPr>
        <w:t> </w:t>
      </w:r>
      <w:r>
        <w:rPr>
          <w:rFonts w:ascii="宋体" w:hAnsi="宋体" w:cs="宋体"/>
          <w:u w:val="none"/>
          <w:sz w:val="24"/>
          <w:position w:val="3.88378906"/>
          <w:color w:val="000000"/>
          <w:noProof w:val="true"/>
          <w:spacing w:val="-5"/>
          <w:w w:val="100"/>
        </w:rPr>
        <w:t>在短期毒性研究、单次给药的组织分布研究和药理学研究观察到未预料</w:t>
      </w:r>
    </w:p>
    <w:p w:rsidR="005A76FB" w:rsidRDefault="005A76FB" w:rsidP="005A76FB">
      <w:pPr>
        <w:spacing w:before="0" w:after="0" w:line="429" w:lineRule="exact"/>
        <w:ind w:firstLine="1133" w:left="-1072"/>
        <w:jc w:val="left"/>
        <w:rPr/>
      </w:pPr>
      <w:r>
        <w:rPr>
          <w:rFonts w:ascii="宋体" w:eastAsia="宋体" w:hAnsi="宋体" w:cs="宋体"/>
          <w:u w:val="none"/>
          <w:sz w:val="24"/>
          <w:position w:val="0"/>
          <w:color w:val="000000"/>
          <w:noProof w:val="true"/>
          <w:spacing w:val="-7"/>
          <w:w w:val="100"/>
        </w:rPr>
        <w:t>的，而且对评价受试物的安全有重要意义的组织病理学改变，重复给药的组</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织分布可能有助于解释这些发现。这些损伤的器官或组织应是该研究的重</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点。</w:t>
      </w:r>
    </w:p>
    <w:p w:rsidR="005A76FB" w:rsidRDefault="005A76FB" w:rsidP="005A76FB">
      <w:pPr>
        <w:spacing w:before="0" w:after="0" w:lineRule="exact" w:line="191"/>
        <w:ind w:firstLine="1133" w:left="-1072"/>
        <w:rPr/>
      </w:pPr>
    </w:p>
    <w:p w:rsidR="005A76FB" w:rsidRDefault="005A76FB" w:rsidP="005A76FB">
      <w:pPr>
        <w:spacing w:before="0" w:after="0" w:line="315" w:lineRule="exact"/>
        <w:ind w:firstLine="1133" w:left="-1072"/>
        <w:jc w:val="left"/>
        <w:rPr/>
      </w:pPr>
      <w:r>
        <w:rPr>
          <w:rFonts w:ascii="Times New Roman" w:hAnsi="Times New Roman" w:cs="Times New Roman"/>
          <w:u w:val="none"/>
          <w:sz w:val="24"/>
          <w:position w:val="0"/>
          <w:color w:val="000000"/>
          <w:noProof w:val="true"/>
          <w:spacing w:val="-2"/>
          <w:w w:val="100"/>
        </w:rPr>
        <w:t>4.</w:t>
      </w:r>
      <w:r>
        <w:rPr>
          <w:rFonts w:ascii="Calibri" w:hAnsi="Calibri" w:cs="Calibri"/>
          <w:u w:val="none"/>
          <w:sz w:val="24"/>
          <w:color w:val="000000"/>
          <w:noProof w:val="true"/>
          <w:spacing w:val="0"/>
          <w:w w:val="216"/>
        </w:rPr>
        <w:t> </w:t>
      </w:r>
      <w:r>
        <w:rPr>
          <w:rFonts w:ascii="宋体" w:eastAsia="宋体" w:hAnsi="宋体" w:cs="宋体"/>
          <w:u w:val="none"/>
          <w:sz w:val="24"/>
          <w:position w:val="3.88378906"/>
          <w:color w:val="000000"/>
          <w:noProof w:val="true"/>
          <w:spacing w:val="-9"/>
          <w:w w:val="100"/>
        </w:rPr>
        <w:t>开发作为定位靶向释放的药物，可能需要进行合适的重复给药的组织分布</w:t>
      </w:r>
    </w:p>
    <w:p w:rsidR="005A76FB" w:rsidRDefault="005A76FB" w:rsidP="005A76FB">
      <w:pPr>
        <w:sectPr w:rsidR="005A76FB" w:rsidSect="005A76FB">
          <w:type w:val="continuous"/>
          <w:pgSz w:w="11908" w:h="16838"/>
          <w:pgMar w:top="852" w:right="713" w:bottom="612" w:left="1073" w:header="0" w:footer="0" w:gutter="0"/>
        </w:sectPr>
        <w:spacing w:before="0" w:after="0" w:line="429" w:lineRule="exact"/>
        <w:ind w:firstLine="1133" w:left="-1072"/>
        <w:jc w:val="left"/>
        <w:rPr/>
      </w:pPr>
      <w:r>
        <w:rPr>
          <w:rFonts w:ascii="宋体" w:hAnsi="宋体" w:cs="宋体"/>
          <w:u w:val="none"/>
          <w:sz w:val="24"/>
          <w:position w:val="0"/>
          <w:color w:val="000000"/>
          <w:noProof w:val="true"/>
          <w:spacing w:val="-5"/>
          <w:w w:val="100"/>
        </w:rPr>
        <w:t>研究。</w:t>
      </w:r>
    </w:p>
    <w:bookmarkStart w:id="3" w:name="3"/>
    <w:bookmarkEnd w:id="3"/>
    <w:p w:rsidR="005A76FB" w:rsidRDefault="005A76FB" w:rsidP="005A76FB">
      <w:pPr>
        <w:spacing w:before="0" w:after="0" w:line="303" w:lineRule="exact"/>
        <w:ind w:left="-1072" w:firstLine="1133"/>
        <w:jc w:val="left"/>
        <w:rPr/>
      </w:pPr>
      <w:r>
        <w:rPr>
          <w:rFonts w:ascii="黑体" w:eastAsia="黑体" w:hAnsi="黑体" w:cs="黑体"/>
          <w:u w:val="none"/>
          <w:sz w:val="24"/>
          <w:position w:val="0"/>
          <w:color w:val="000000"/>
          <w:noProof w:val="true"/>
          <w:spacing w:val="-5"/>
          <w:w w:val="100"/>
        </w:rPr>
        <w:t>重复给药的组织分布研究设计与实施</w:t>
      </w:r>
    </w:p>
    <w:p w:rsidR="005A76FB" w:rsidRDefault="005A76FB" w:rsidP="005A76FB">
      <w:pPr>
        <w:spacing w:before="0" w:after="0" w:line="465" w:lineRule="exact"/>
        <w:ind w:firstLine="1613" w:left="-1072"/>
        <w:jc w:val="left"/>
        <w:rPr/>
      </w:pPr>
      <w:r>
        <w:rPr>
          <w:rFonts w:ascii="宋体" w:eastAsia="宋体" w:hAnsi="宋体" w:cs="宋体"/>
          <w:u w:val="none"/>
          <w:sz w:val="24"/>
          <w:position w:val="0"/>
          <w:color w:val="000000"/>
          <w:noProof w:val="true"/>
          <w:spacing w:val="-5"/>
          <w:w w:val="100"/>
        </w:rPr>
        <w:t>可使用放射性标记化合物或选择足够灵敏和特异的方法达到该研究的</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目的。</w:t>
      </w:r>
    </w:p>
    <w:p w:rsidR="005A76FB" w:rsidRDefault="005A76FB" w:rsidP="005A76FB">
      <w:pPr>
        <w:spacing w:before="0" w:after="0" w:line="467" w:lineRule="exact"/>
        <w:ind w:firstLine="1553" w:left="-1072"/>
        <w:jc w:val="left"/>
        <w:rPr/>
      </w:pPr>
      <w:r>
        <w:rPr>
          <w:rFonts w:ascii="宋体" w:eastAsia="宋体" w:hAnsi="宋体" w:cs="宋体"/>
          <w:u w:val="none"/>
          <w:sz w:val="24"/>
          <w:position w:val="0"/>
          <w:color w:val="000000"/>
          <w:noProof w:val="true"/>
          <w:spacing w:val="-5"/>
          <w:w w:val="100"/>
        </w:rPr>
        <w:t>进行剂量和动物种属选择时，应从引起考虑进行重复给药组织分布研究</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的问题入手。</w:t>
      </w:r>
    </w:p>
    <w:p w:rsidR="005A76FB" w:rsidRDefault="005A76FB" w:rsidP="005A76FB">
      <w:pPr>
        <w:spacing w:before="0" w:after="0" w:line="467" w:lineRule="exact"/>
        <w:ind w:firstLine="1553" w:left="-1072"/>
        <w:jc w:val="left"/>
        <w:rPr/>
      </w:pPr>
      <w:r>
        <w:rPr>
          <w:rFonts w:ascii="宋体" w:eastAsia="宋体" w:hAnsi="宋体" w:cs="宋体"/>
          <w:u w:val="none"/>
          <w:sz w:val="24"/>
          <w:position w:val="0"/>
          <w:color w:val="000000"/>
          <w:noProof w:val="true"/>
          <w:spacing w:val="-5"/>
          <w:w w:val="100"/>
        </w:rPr>
        <w:t>已有的药代动力学和毒代动力学研究信息可用于选择重复给药组织分布</w:t>
      </w:r>
    </w:p>
    <w:p w:rsidR="005A76FB" w:rsidRDefault="005A76FB" w:rsidP="005A76FB">
      <w:pPr>
        <w:spacing w:before="0" w:after="0" w:lineRule="exact" w:line="191"/>
        <w:ind w:firstLine="1553" w:left="-1072"/>
        <w:rPr/>
      </w:pPr>
    </w:p>
    <w:p w:rsidR="005A76FB" w:rsidRDefault="005A76FB" w:rsidP="005A76FB">
      <w:pPr>
        <w:spacing w:before="0" w:after="0" w:line="315" w:lineRule="exact"/>
        <w:ind w:firstLine="1133" w:left="-1072"/>
        <w:jc w:val="left"/>
        <w:rPr/>
      </w:pPr>
      <w:r>
        <w:rPr>
          <w:rFonts w:ascii="宋体" w:eastAsia="宋体" w:hAnsi="宋体" w:cs="宋体"/>
          <w:u w:val="none"/>
          <w:sz w:val="24"/>
          <w:position w:val="3.88375854"/>
          <w:color w:val="000000"/>
          <w:noProof w:val="true"/>
          <w:spacing w:val="-5"/>
          <w:w w:val="100"/>
        </w:rPr>
        <w:t>试</w:t>
      </w:r>
      <w:r>
        <w:rPr>
          <w:rFonts w:ascii="宋体" w:eastAsia="宋体" w:hAnsi="宋体" w:cs="宋体"/>
          <w:u w:val="none"/>
          <w:sz w:val="24"/>
          <w:position w:val="3.88375854"/>
          <w:color w:val="000000"/>
          <w:noProof w:val="true"/>
          <w:spacing w:val="-5"/>
          <w:w w:val="100"/>
        </w:rPr>
        <w:t>验</w:t>
      </w:r>
      <w:r>
        <w:rPr>
          <w:rFonts w:ascii="宋体" w:eastAsia="宋体" w:hAnsi="宋体" w:cs="宋体"/>
          <w:u w:val="none"/>
          <w:sz w:val="24"/>
          <w:position w:val="3.88375854"/>
          <w:color w:val="000000"/>
          <w:noProof w:val="true"/>
          <w:spacing w:val="-5"/>
          <w:w w:val="100"/>
        </w:rPr>
        <w:t>的</w:t>
      </w:r>
      <w:r>
        <w:rPr>
          <w:rFonts w:ascii="宋体" w:eastAsia="宋体" w:hAnsi="宋体" w:cs="宋体"/>
          <w:u w:val="none"/>
          <w:sz w:val="24"/>
          <w:position w:val="3.88375854"/>
          <w:color w:val="000000"/>
          <w:noProof w:val="true"/>
          <w:spacing w:val="-5"/>
          <w:w w:val="100"/>
        </w:rPr>
        <w:t>给</w:t>
      </w:r>
      <w:r>
        <w:rPr>
          <w:rFonts w:ascii="宋体" w:eastAsia="宋体" w:hAnsi="宋体" w:cs="宋体"/>
          <w:u w:val="none"/>
          <w:sz w:val="24"/>
          <w:position w:val="3.88375854"/>
          <w:color w:val="000000"/>
          <w:noProof w:val="true"/>
          <w:spacing w:val="-5"/>
          <w:w w:val="100"/>
        </w:rPr>
        <w:t>药</w:t>
      </w:r>
      <w:r>
        <w:rPr>
          <w:rFonts w:ascii="宋体" w:eastAsia="宋体" w:hAnsi="宋体" w:cs="宋体"/>
          <w:u w:val="none"/>
          <w:sz w:val="24"/>
          <w:position w:val="3.88375854"/>
          <w:color w:val="000000"/>
          <w:noProof w:val="true"/>
          <w:spacing w:val="-5"/>
          <w:w w:val="100"/>
        </w:rPr>
        <w:t>周</w:t>
      </w:r>
      <w:r>
        <w:rPr>
          <w:rFonts w:ascii="宋体" w:eastAsia="宋体" w:hAnsi="宋体" w:cs="宋体"/>
          <w:u w:val="none"/>
          <w:sz w:val="24"/>
          <w:position w:val="3.88375854"/>
          <w:color w:val="000000"/>
          <w:noProof w:val="true"/>
          <w:spacing w:val="-5"/>
          <w:w w:val="100"/>
        </w:rPr>
        <w:t>期</w:t>
      </w:r>
      <w:r>
        <w:rPr>
          <w:rFonts w:ascii="宋体" w:hAnsi="宋体" w:cs="宋体"/>
          <w:u w:val="none"/>
          <w:sz w:val="24"/>
          <w:position w:val="3.88375854"/>
          <w:color w:val="000000"/>
          <w:noProof w:val="true"/>
          <w:spacing w:val="-5"/>
          <w:w w:val="100"/>
        </w:rPr>
        <w:t>。</w:t>
      </w:r>
      <w:r>
        <w:rPr>
          <w:rFonts w:ascii="宋体" w:eastAsia="宋体" w:hAnsi="宋体" w:cs="宋体"/>
          <w:u w:val="none"/>
          <w:sz w:val="24"/>
          <w:position w:val="3.88375854"/>
          <w:color w:val="000000"/>
          <w:noProof w:val="true"/>
          <w:spacing w:val="-5"/>
          <w:w w:val="100"/>
        </w:rPr>
        <w:t>通</w:t>
      </w:r>
      <w:r>
        <w:rPr>
          <w:rFonts w:ascii="宋体" w:eastAsia="宋体" w:hAnsi="宋体" w:cs="宋体"/>
          <w:u w:val="none"/>
          <w:sz w:val="24"/>
          <w:position w:val="3.88375854"/>
          <w:color w:val="000000"/>
          <w:noProof w:val="true"/>
          <w:spacing w:val="-5"/>
          <w:w w:val="100"/>
        </w:rPr>
        <w:t>常</w:t>
      </w:r>
      <w:r>
        <w:rPr>
          <w:rFonts w:ascii="宋体" w:eastAsia="宋体" w:hAnsi="宋体" w:cs="宋体"/>
          <w:u w:val="none"/>
          <w:sz w:val="24"/>
          <w:position w:val="3.88375854"/>
          <w:color w:val="000000"/>
          <w:noProof w:val="true"/>
          <w:spacing w:val="-5"/>
          <w:w w:val="100"/>
        </w:rPr>
        <w:t>至</w:t>
      </w:r>
      <w:r>
        <w:rPr>
          <w:rFonts w:ascii="宋体" w:eastAsia="宋体" w:hAnsi="宋体" w:cs="宋体"/>
          <w:u w:val="none"/>
          <w:sz w:val="24"/>
          <w:position w:val="3.88375854"/>
          <w:color w:val="000000"/>
          <w:noProof w:val="true"/>
          <w:spacing w:val="-5"/>
          <w:w w:val="100"/>
        </w:rPr>
        <w:t>少</w:t>
      </w:r>
      <w:r>
        <w:rPr>
          <w:rFonts w:ascii="宋体" w:eastAsia="宋体" w:hAnsi="宋体" w:cs="宋体"/>
          <w:u w:val="none"/>
          <w:sz w:val="24"/>
          <w:position w:val="3.88375854"/>
          <w:color w:val="000000"/>
          <w:noProof w:val="true"/>
          <w:spacing w:val="-5"/>
          <w:w w:val="100"/>
        </w:rPr>
        <w:t>给</w:t>
      </w:r>
      <w:r>
        <w:rPr>
          <w:rFonts w:ascii="宋体" w:eastAsia="宋体" w:hAnsi="宋体" w:cs="宋体"/>
          <w:u w:val="none"/>
          <w:sz w:val="24"/>
          <w:position w:val="3.88375854"/>
          <w:color w:val="000000"/>
          <w:noProof w:val="true"/>
          <w:spacing w:val="-5"/>
          <w:w w:val="100"/>
        </w:rPr>
        <w:t>药</w:t>
      </w:r>
      <w:r>
        <w:rPr>
          <w:rFonts w:ascii="宋体" w:eastAsia="宋体" w:hAnsi="宋体" w:cs="宋体"/>
          <w:u w:val="none"/>
          <w:sz w:val="24"/>
          <w:position w:val="3.88375854"/>
          <w:color w:val="000000"/>
          <w:noProof w:val="true"/>
          <w:spacing w:val="-5"/>
          <w:w w:val="100"/>
        </w:rPr>
        <w:t>一</w:t>
      </w:r>
      <w:r>
        <w:rPr>
          <w:rFonts w:ascii="宋体" w:eastAsia="宋体" w:hAnsi="宋体" w:cs="宋体"/>
          <w:u w:val="none"/>
          <w:sz w:val="24"/>
          <w:position w:val="3.88375854"/>
          <w:color w:val="000000"/>
          <w:noProof w:val="true"/>
          <w:spacing w:val="-5"/>
          <w:w w:val="100"/>
        </w:rPr>
        <w:t>周</w:t>
      </w:r>
      <w:r>
        <w:rPr>
          <w:rFonts w:ascii="宋体" w:hAnsi="宋体" w:cs="宋体"/>
          <w:u w:val="none"/>
          <w:sz w:val="24"/>
          <w:position w:val="3.88375854"/>
          <w:color w:val="000000"/>
          <w:noProof w:val="true"/>
          <w:spacing w:val="-5"/>
          <w:w w:val="100"/>
        </w:rPr>
        <w:t>。</w:t>
      </w:r>
      <w:r>
        <w:rPr>
          <w:rFonts w:ascii="宋体" w:eastAsia="宋体" w:hAnsi="宋体" w:cs="宋体"/>
          <w:u w:val="none"/>
          <w:sz w:val="24"/>
          <w:position w:val="3.88375854"/>
          <w:color w:val="000000"/>
          <w:noProof w:val="true"/>
          <w:spacing w:val="-5"/>
          <w:w w:val="100"/>
        </w:rPr>
        <w:t>当</w:t>
      </w:r>
      <w:r>
        <w:rPr>
          <w:rFonts w:ascii="宋体" w:eastAsia="宋体" w:hAnsi="宋体" w:cs="宋体"/>
          <w:u w:val="none"/>
          <w:sz w:val="24"/>
          <w:position w:val="3.88375854"/>
          <w:color w:val="000000"/>
          <w:noProof w:val="true"/>
          <w:spacing w:val="-5"/>
          <w:w w:val="100"/>
        </w:rPr>
        <w:t>化</w:t>
      </w:r>
      <w:r>
        <w:rPr>
          <w:rFonts w:ascii="宋体" w:eastAsia="宋体" w:hAnsi="宋体" w:cs="宋体"/>
          <w:u w:val="none"/>
          <w:sz w:val="24"/>
          <w:position w:val="3.88375854"/>
          <w:color w:val="000000"/>
          <w:noProof w:val="true"/>
          <w:spacing w:val="-5"/>
          <w:w w:val="100"/>
        </w:rPr>
        <w:t>合</w:t>
      </w:r>
      <w:r>
        <w:rPr>
          <w:rFonts w:ascii="宋体" w:eastAsia="宋体" w:hAnsi="宋体" w:cs="宋体"/>
          <w:u w:val="none"/>
          <w:sz w:val="24"/>
          <w:position w:val="3.88375854"/>
          <w:color w:val="000000"/>
          <w:noProof w:val="true"/>
          <w:spacing w:val="-5"/>
          <w:w w:val="100"/>
        </w:rPr>
        <w:t>物</w:t>
      </w:r>
      <w:r>
        <w:rPr>
          <w:rFonts w:ascii="宋体" w:eastAsia="宋体" w:hAnsi="宋体" w:cs="宋体"/>
          <w:u w:val="none"/>
          <w:sz w:val="24"/>
          <w:position w:val="3.88375854"/>
          <w:color w:val="000000"/>
          <w:noProof w:val="true"/>
          <w:spacing w:val="-5"/>
          <w:w w:val="100"/>
        </w:rPr>
        <w:t>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5854"/>
          <w:color w:val="000000"/>
          <w:noProof w:val="true"/>
          <w:spacing w:val="-5"/>
          <w:w w:val="100"/>
        </w:rPr>
        <w:t>或</w:t>
      </w:r>
      <w:r>
        <w:rPr>
          <w:rFonts w:ascii="宋体" w:eastAsia="宋体" w:hAnsi="宋体" w:cs="宋体"/>
          <w:u w:val="none"/>
          <w:sz w:val="24"/>
          <w:position w:val="3.88375854"/>
          <w:color w:val="000000"/>
          <w:noProof w:val="true"/>
          <w:spacing w:val="-5"/>
          <w:w w:val="100"/>
        </w:rPr>
        <w:t>其</w:t>
      </w:r>
      <w:r>
        <w:rPr>
          <w:rFonts w:ascii="宋体" w:eastAsia="宋体" w:hAnsi="宋体" w:cs="宋体"/>
          <w:u w:val="none"/>
          <w:sz w:val="24"/>
          <w:position w:val="3.88375854"/>
          <w:color w:val="000000"/>
          <w:noProof w:val="true"/>
          <w:spacing w:val="-5"/>
          <w:w w:val="100"/>
        </w:rPr>
        <w:t>代</w:t>
      </w:r>
      <w:r>
        <w:rPr>
          <w:rFonts w:ascii="宋体" w:eastAsia="宋体" w:hAnsi="宋体" w:cs="宋体"/>
          <w:u w:val="none"/>
          <w:sz w:val="24"/>
          <w:position w:val="3.88375854"/>
          <w:color w:val="000000"/>
          <w:noProof w:val="true"/>
          <w:spacing w:val="-5"/>
          <w:w w:val="100"/>
        </w:rPr>
        <w:t>谢</w:t>
      </w:r>
      <w:r>
        <w:rPr>
          <w:rFonts w:ascii="宋体" w:eastAsia="宋体" w:hAnsi="宋体" w:cs="宋体"/>
          <w:u w:val="none"/>
          <w:sz w:val="24"/>
          <w:position w:val="3.88375854"/>
          <w:color w:val="000000"/>
          <w:noProof w:val="true"/>
          <w:spacing w:val="-5"/>
          <w:w w:val="100"/>
        </w:rPr>
        <w:t>产</w:t>
      </w:r>
      <w:r>
        <w:rPr>
          <w:rFonts w:ascii="宋体" w:eastAsia="宋体" w:hAnsi="宋体" w:cs="宋体"/>
          <w:u w:val="none"/>
          <w:sz w:val="24"/>
          <w:position w:val="3.88375854"/>
          <w:color w:val="000000"/>
          <w:noProof w:val="true"/>
          <w:spacing w:val="-5"/>
          <w:w w:val="100"/>
        </w:rPr>
        <w:t>物</w:t>
      </w:r>
      <w:r>
        <w:rPr>
          <w:rFonts w:ascii="宋体" w:eastAsia="宋体" w:hAnsi="宋体" w:cs="宋体"/>
          <w:u w:val="none"/>
          <w:sz w:val="24"/>
          <w:position w:val="3.88375854"/>
          <w:color w:val="000000"/>
          <w:noProof w:val="true"/>
          <w:spacing w:val="-5"/>
          <w:w w:val="100"/>
        </w:rPr>
        <w:t>的</w:t>
      </w:r>
      <w:r>
        <w:rPr>
          <w:rFonts w:ascii="宋体" w:eastAsia="宋体" w:hAnsi="宋体" w:cs="宋体"/>
          <w:u w:val="none"/>
          <w:sz w:val="24"/>
          <w:position w:val="3.88375854"/>
          <w:color w:val="000000"/>
          <w:noProof w:val="true"/>
          <w:spacing w:val="-5"/>
          <w:w w:val="100"/>
        </w:rPr>
        <w:t>血</w:t>
      </w:r>
      <w:r>
        <w:rPr>
          <w:rFonts w:ascii="宋体" w:eastAsia="宋体" w:hAnsi="宋体" w:cs="宋体"/>
          <w:u w:val="none"/>
          <w:sz w:val="24"/>
          <w:position w:val="3.88375854"/>
          <w:color w:val="000000"/>
          <w:noProof w:val="true"/>
          <w:spacing w:val="-5"/>
          <w:w w:val="100"/>
        </w:rPr>
        <w:t>液</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5854"/>
          <w:color w:val="000000"/>
          <w:noProof w:val="true"/>
          <w:spacing w:val="-5"/>
          <w:w w:val="100"/>
        </w:rPr>
        <w:t>血</w:t>
      </w:r>
    </w:p>
    <w:p w:rsidR="005A76FB" w:rsidRDefault="005A76FB" w:rsidP="005A76FB">
      <w:pPr>
        <w:spacing w:before="0" w:after="0" w:line="429" w:lineRule="exact"/>
        <w:ind w:firstLine="1133" w:left="-1072"/>
        <w:jc w:val="left"/>
        <w:rPr/>
      </w:pPr>
      <w:r>
        <w:rPr>
          <w:rFonts w:ascii="宋体" w:hAnsi="宋体" w:cs="宋体"/>
          <w:u w:val="none"/>
          <w:sz w:val="24"/>
          <w:position w:val="0"/>
          <w:color w:val="000000"/>
          <w:noProof w:val="true"/>
          <w:spacing w:val="-10"/>
          <w:w w:val="100"/>
        </w:rPr>
        <w:t>浆浓度未达到稳态时，应延长给药周期。通常认为，给药没有必要超过三周。</w:t>
      </w:r>
    </w:p>
    <w:p w:rsidR="005A76FB" w:rsidRDefault="005A76FB" w:rsidP="005A76FB">
      <w:pPr>
        <w:spacing w:before="0" w:after="0" w:lineRule="exact" w:line="191"/>
        <w:ind w:firstLine="1133" w:left="-1072"/>
        <w:rPr/>
      </w:pPr>
    </w:p>
    <w:p w:rsidR="005A76FB" w:rsidRDefault="005A76FB" w:rsidP="005A76FB">
      <w:pPr>
        <w:spacing w:before="0" w:after="0" w:line="315" w:lineRule="exact"/>
        <w:ind w:firstLine="1553" w:left="-1072"/>
        <w:jc w:val="left"/>
        <w:rPr/>
      </w:pPr>
      <w:r>
        <w:rPr>
          <w:rFonts w:ascii="宋体" w:eastAsia="宋体" w:hAnsi="宋体" w:cs="宋体"/>
          <w:u w:val="none"/>
          <w:sz w:val="24"/>
          <w:position w:val="3.88375854"/>
          <w:color w:val="000000"/>
          <w:noProof w:val="true"/>
          <w:spacing w:val="-5"/>
          <w:w w:val="100"/>
        </w:rPr>
        <w:t>当在器官和组织中大量蓄积原形化合物和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75854"/>
          <w:color w:val="000000"/>
          <w:noProof w:val="true"/>
          <w:spacing w:val="-10"/>
          <w:w w:val="100"/>
        </w:rPr>
        <w:t>或代谢产物，或认为组织分布</w:t>
      </w:r>
    </w:p>
    <w:p w:rsidR="005A76FB" w:rsidRDefault="005A76FB" w:rsidP="005A76FB">
      <w:pPr>
        <w:spacing w:before="0" w:after="0" w:line="467" w:lineRule="exact"/>
        <w:ind w:firstLine="1133" w:left="-1072"/>
        <w:jc w:val="left"/>
        <w:rPr/>
      </w:pPr>
      <w:r>
        <w:rPr>
          <w:rFonts w:ascii="宋体" w:eastAsia="宋体" w:hAnsi="宋体" w:cs="宋体"/>
          <w:u w:val="none"/>
          <w:sz w:val="24"/>
          <w:position w:val="3.88372803"/>
          <w:color w:val="000000"/>
          <w:noProof w:val="true"/>
          <w:spacing w:val="-5"/>
          <w:w w:val="100"/>
        </w:rPr>
        <w:t>数据可以阐明器官毒性机理时，应考虑测定组织或器官内的原形化合物和</w:t>
      </w:r>
      <w:r>
        <w:rPr>
          <w:rFonts w:ascii="Times New Roman" w:hAnsi="Times New Roman" w:cs="Times New Roman"/>
          <w:u w:val="none"/>
          <w:sz w:val="24"/>
          <w:position w:val="0"/>
          <w:color w:val="000000"/>
          <w:noProof w:val="true"/>
          <w:spacing w:val="-2"/>
          <w:w w:val="100"/>
        </w:rPr>
        <w:t>/</w:t>
      </w:r>
    </w:p>
    <w:p w:rsidR="005A76FB" w:rsidRDefault="005A76FB" w:rsidP="005A76FB">
      <w:pPr>
        <w:spacing w:before="0" w:after="0" w:line="429" w:lineRule="exact"/>
        <w:ind w:firstLine="1133" w:left="-1072"/>
        <w:jc w:val="left"/>
        <w:rPr/>
      </w:pPr>
      <w:r>
        <w:rPr>
          <w:rFonts w:ascii="宋体" w:hAnsi="宋体" w:cs="宋体"/>
          <w:u w:val="none"/>
          <w:sz w:val="24"/>
          <w:position w:val="0"/>
          <w:color w:val="000000"/>
          <w:noProof w:val="true"/>
          <w:spacing w:val="-5"/>
          <w:w w:val="100"/>
        </w:rPr>
        <w:t>或代谢产物。</w:t>
      </w:r>
    </w:p>
    <w:p w:rsidR="005A76FB" w:rsidRDefault="005A76FB" w:rsidP="005A76FB">
      <w:pPr>
        <w:spacing w:before="0" w:after="0" w:lineRule="exact" w:line="240"/>
        <w:ind w:firstLine="1133" w:left="-1072"/>
        <w:rPr/>
      </w:pPr>
    </w:p>
    <w:p w:rsidR="005A76FB" w:rsidRDefault="005A76FB" w:rsidP="005A76FB">
      <w:pPr>
        <w:spacing w:before="0" w:after="0" w:lineRule="exact" w:line="240"/>
        <w:ind w:firstLine="1133" w:left="-1072"/>
        <w:rPr/>
      </w:pPr>
    </w:p>
    <w:p w:rsidR="005A76FB" w:rsidRDefault="005A76FB" w:rsidP="005A76FB">
      <w:pPr>
        <w:spacing w:before="0" w:after="0" w:line="404" w:lineRule="exact"/>
        <w:ind w:firstLine="1133" w:left="-1072"/>
        <w:jc w:val="left"/>
        <w:rPr/>
      </w:pPr>
      <w:r>
        <w:rPr>
          <w:rFonts w:ascii="黑体" w:eastAsia="黑体" w:hAnsi="黑体" w:cs="黑体"/>
          <w:u w:val="none"/>
          <w:sz w:val="24"/>
          <w:position w:val="0"/>
          <w:color w:val="000000"/>
          <w:noProof w:val="true"/>
          <w:spacing w:val="-5"/>
          <w:w w:val="100"/>
        </w:rPr>
        <w:t>小结</w:t>
      </w:r>
    </w:p>
    <w:p w:rsidR="005A76FB" w:rsidRDefault="005A76FB" w:rsidP="005A76FB">
      <w:pPr>
        <w:spacing w:before="0" w:after="0" w:line="465" w:lineRule="exact"/>
        <w:ind w:firstLine="1553" w:left="-1072"/>
        <w:jc w:val="left"/>
        <w:rPr/>
      </w:pPr>
      <w:r>
        <w:rPr>
          <w:rFonts w:ascii="宋体" w:hAnsi="宋体" w:cs="宋体"/>
          <w:u w:val="none"/>
          <w:sz w:val="24"/>
          <w:position w:val="0"/>
          <w:color w:val="000000"/>
          <w:noProof w:val="true"/>
          <w:spacing w:val="-5"/>
          <w:w w:val="100"/>
        </w:rPr>
        <w:t>组织分布研究是非临床动力学试验的重要组成部分。对大多数化合物而</w:t>
      </w:r>
    </w:p>
    <w:p w:rsidR="005A76FB" w:rsidRDefault="005A76FB" w:rsidP="005A76FB">
      <w:pPr>
        <w:spacing w:before="0" w:after="0" w:line="467" w:lineRule="exact"/>
        <w:ind w:firstLine="1133" w:left="-1072"/>
        <w:jc w:val="left"/>
        <w:rPr/>
      </w:pPr>
      <w:r>
        <w:rPr>
          <w:rFonts w:ascii="宋体" w:eastAsia="宋体" w:hAnsi="宋体" w:cs="宋体"/>
          <w:u w:val="none"/>
          <w:sz w:val="24"/>
          <w:position w:val="0"/>
          <w:color w:val="000000"/>
          <w:noProof w:val="true"/>
          <w:spacing w:val="-7"/>
          <w:w w:val="100"/>
        </w:rPr>
        <w:t>言，有足够灵敏度和特异性的单次给药组织分布研究能满足评价组织分布和</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7"/>
          <w:w w:val="100"/>
        </w:rPr>
        <w:t>潜在蓄积的需要。因此，重复给药的组织分布研究并不是所有的化合物都需</w:t>
      </w:r>
    </w:p>
    <w:p w:rsidR="005A76FB" w:rsidRDefault="005A76FB" w:rsidP="005A76FB">
      <w:pPr>
        <w:spacing w:before="0" w:after="0" w:lineRule="exact" w:line="191"/>
        <w:ind w:firstLine="1133" w:left="-1072"/>
        <w:rPr/>
      </w:pPr>
    </w:p>
    <w:p w:rsidR="005A76FB" w:rsidRDefault="005A76FB" w:rsidP="005A76FB">
      <w:pPr>
        <w:spacing w:before="0" w:after="0" w:line="315" w:lineRule="exact"/>
        <w:ind w:firstLine="1133" w:left="-1072"/>
        <w:jc w:val="left"/>
        <w:rPr/>
      </w:pPr>
      <w:r>
        <w:rPr>
          <w:rFonts w:ascii="宋体" w:eastAsia="宋体" w:hAnsi="宋体" w:cs="宋体"/>
          <w:u w:val="none"/>
          <w:sz w:val="24"/>
          <w:position w:val="3.88372803"/>
          <w:color w:val="000000"/>
          <w:noProof w:val="true"/>
          <w:spacing w:val="-5"/>
          <w:w w:val="100"/>
        </w:rPr>
        <w:t>要的</w:t>
      </w:r>
      <w:r>
        <w:rPr>
          <w:rFonts w:ascii="Times New Roman" w:hAnsi="Times New Roman" w:cs="Times New Roman"/>
          <w:u w:val="none"/>
          <w:sz w:val="24"/>
          <w:position w:val="0"/>
          <w:color w:val="000000"/>
          <w:noProof w:val="true"/>
          <w:spacing w:val="-2"/>
          <w:w w:val="100"/>
        </w:rPr>
        <w:t>,</w:t>
      </w:r>
      <w:r>
        <w:rPr>
          <w:rFonts w:ascii="Calibri" w:hAnsi="Calibri" w:cs="Calibri"/>
          <w:u w:val="none"/>
          <w:sz w:val="24"/>
          <w:color w:val="000000"/>
          <w:noProof w:val="true"/>
          <w:spacing w:val="0"/>
          <w:w w:val="216"/>
        </w:rPr>
        <w:t> </w:t>
      </w:r>
      <w:r>
        <w:rPr>
          <w:rFonts w:ascii="宋体" w:hAnsi="宋体" w:cs="宋体"/>
          <w:u w:val="none"/>
          <w:sz w:val="24"/>
          <w:position w:val="3.88372803"/>
          <w:color w:val="000000"/>
          <w:noProof w:val="true"/>
          <w:spacing w:val="-5"/>
          <w:w w:val="100"/>
        </w:rPr>
        <w:t>仅是当其它来源得不到合适数据时，才需要进行。根据单次给药组织</w:t>
      </w:r>
    </w:p>
    <w:p w:rsidR="005A76FB" w:rsidRDefault="005A76FB" w:rsidP="005A76FB">
      <w:pPr>
        <w:spacing w:before="0" w:after="0" w:line="429" w:lineRule="exact"/>
        <w:ind w:firstLine="1133" w:left="-1072"/>
        <w:jc w:val="left"/>
        <w:rPr/>
      </w:pPr>
      <w:r>
        <w:rPr>
          <w:rFonts w:ascii="宋体" w:hAnsi="宋体" w:cs="宋体"/>
          <w:u w:val="none"/>
          <w:sz w:val="24"/>
          <w:position w:val="0"/>
          <w:color w:val="000000"/>
          <w:noProof w:val="true"/>
          <w:spacing w:val="-7"/>
          <w:w w:val="100"/>
        </w:rPr>
        <w:t>分布研究、毒性和毒代动力学研究结果，在某种情况下进行重复给药组织分</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9"/>
          <w:w w:val="100"/>
        </w:rPr>
        <w:t>布试验是需要的。对于半衰期明显较长、消除</w:t>
      </w:r>
      <w:r>
        <w:rPr>
          <w:rFonts w:ascii="Calibri" w:hAnsi="Calibri" w:cs="Calibri"/>
          <w:u w:val="none"/>
          <w:sz w:val="24"/>
          <w:color w:val="000000"/>
          <w:noProof w:val="true"/>
          <w:spacing w:val="0"/>
          <w:w w:val="45"/>
        </w:rPr>
        <w:t> </w:t>
      </w:r>
      <w:r>
        <w:rPr>
          <w:rFonts w:ascii="宋体" w:eastAsia="宋体" w:hAnsi="宋体" w:cs="宋体"/>
          <w:u w:val="none"/>
          <w:sz w:val="24"/>
          <w:position w:val="0"/>
          <w:color w:val="000000"/>
          <w:noProof w:val="true"/>
          <w:spacing w:val="-5"/>
          <w:w w:val="100"/>
        </w:rPr>
        <w:t>不完全或发现非预期器官毒性</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7"/>
          <w:w w:val="100"/>
        </w:rPr>
        <w:t>的化合物，这一研究可能是最恰当的。重复给药组织分布研究的试验设计和</w:t>
      </w:r>
    </w:p>
    <w:p w:rsidR="005A76FB" w:rsidRDefault="005A76FB" w:rsidP="005A76FB">
      <w:pPr>
        <w:spacing w:before="0" w:after="0" w:line="467" w:lineRule="exact"/>
        <w:ind w:firstLine="1133" w:left="-1072"/>
        <w:jc w:val="left"/>
        <w:rPr/>
      </w:pPr>
      <w:r>
        <w:rPr>
          <w:rFonts w:ascii="宋体" w:hAnsi="宋体" w:cs="宋体"/>
          <w:u w:val="none"/>
          <w:sz w:val="24"/>
          <w:position w:val="0"/>
          <w:color w:val="000000"/>
          <w:noProof w:val="true"/>
          <w:spacing w:val="-5"/>
          <w:w w:val="100"/>
        </w:rPr>
        <w:t>给药时间的确定应具体情况具体分析。</w:t>
      </w:r>
    </w:p>
    <w:sectPr w:rsidR="00087C8E" w:rsidRPr="004F20E7" w:rsidSect="000D1471">
      <w:type w:val="continuous"/>
      <w:pgSz w:w="11908" w:h="16839"/>
      <w:pgMar w:top="852" w:right="713" w:bottom="612" w:left="1073" w:header="0" w:footer="0" w:gutter="0"/>
      <w:cols w:space="425"/>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