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43" w:bottom="1193" w:left="13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1" w:lineRule="exact"/>
        <w:ind w:left="228" w:firstLine="0"/>
        <w:jc w:val="left"/>
        <w:rPr/>
      </w:pPr>
      <w:r>
        <w:rPr>
          <w:noProof/>
        </w:rPr>
        <w:pict>
          <v:shape id="imagerId6" type="#_x0000_t75" style="position:absolute;margin-left:88pt;margin-top:153pt;width:441pt;height:26pt;z-index:-251658077;mso-position-horizontal-relative:page;mso-position-vertical-relative:page">
            <v:imagedata r:id="rId6" o:title=""/>
          </v:shape>
        </w:pict>
      </w:r>
      <w:r>
        <w:rPr>
          <w:rFonts w:ascii="黑体" w:eastAsia="黑体" w:hAnsi="黑体" w:cs="黑体"/>
          <w:u w:val="none"/>
          <w:sz w:val="32"/>
          <w:position w:val="0"/>
          <w:color w:val="000000"/>
          <w:noProof w:val="true"/>
          <w:spacing w:val="-5"/>
          <w:w w:val="100"/>
        </w:rPr>
        <w:t>附件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43" w:bottom="1193" w:left="1303" w:header="0" w:footer="0" w:gutter="0"/>
          <w:cols w:num="1" w:equalWidth="0">
            <w:col w:w="96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40"/>
        <w:ind w:left="228" w:firstLine="0"/>
        <w:rPr/>
      </w:pPr>
    </w:p>
    <w:p w:rsidR="005A76FB" w:rsidRDefault="005A76FB" w:rsidP="005A76FB">
      <w:pPr>
        <w:spacing w:before="0" w:after="0" w:lineRule="exact" w:line="268"/>
        <w:ind w:left="228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43" w:bottom="1193" w:left="13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1" w:lineRule="exact"/>
        <w:ind w:firstLine="639" w:left="228"/>
        <w:jc w:val="left"/>
        <w:rPr/>
      </w:pPr>
      <w:r>
        <w:rPr>
          <w:rFonts w:ascii="黑体" w:hAnsi="黑体" w:cs="黑体"/>
          <w:u w:val="none"/>
          <w:sz w:val="32"/>
          <w:position w:val="0"/>
          <w:color w:val="000000"/>
          <w:noProof w:val="true"/>
          <w:spacing w:val="-5"/>
          <w:w w:val="100"/>
        </w:rPr>
        <w:t>一、范围</w:t>
      </w:r>
    </w:p>
    <w:p w:rsidR="005A76FB" w:rsidRDefault="005A76FB" w:rsidP="005A76FB">
      <w:pPr>
        <w:spacing w:before="0" w:after="0" w:line="436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本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指导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原则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适用于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指导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药品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在中华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人民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共和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国境内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3"/>
          <w:w w:val="100"/>
        </w:rPr>
        <w:t>申报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注</w:t>
      </w:r>
    </w:p>
    <w:p w:rsidR="005A76FB" w:rsidRDefault="005A76FB" w:rsidP="005A76FB">
      <w:pPr>
        <w:spacing w:before="0" w:after="0" w:line="441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册时，接受申请人采用境外临床试验数据作为临床评价资料的工</w:t>
      </w:r>
    </w:p>
    <w:p w:rsidR="005A76FB" w:rsidRDefault="005A76FB" w:rsidP="005A76FB">
      <w:pPr>
        <w:spacing w:before="0" w:after="0" w:line="442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作。</w:t>
      </w:r>
    </w:p>
    <w:p w:rsidR="005A76FB" w:rsidRDefault="005A76FB" w:rsidP="005A76FB">
      <w:pPr>
        <w:spacing w:before="0" w:after="0" w:line="436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本指导原则所涉及的境外临床试验数据，包括但不限于申请</w:t>
      </w:r>
    </w:p>
    <w:p w:rsidR="005A76FB" w:rsidRDefault="005A76FB" w:rsidP="005A76FB">
      <w:pPr>
        <w:spacing w:before="0" w:after="0" w:line="441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人通过创新药的境内外同步研发在境外获得的临床试验数据。在</w:t>
      </w:r>
    </w:p>
    <w:p w:rsidR="005A76FB" w:rsidRDefault="005A76FB" w:rsidP="005A76FB">
      <w:pPr>
        <w:spacing w:before="0" w:after="0" w:line="441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境外开展仿制药研发，具备完整可评价的生物等效性数据的，也</w:t>
      </w:r>
    </w:p>
    <w:p w:rsidR="005A76FB" w:rsidRDefault="005A76FB" w:rsidP="005A76FB">
      <w:pPr>
        <w:spacing w:before="0" w:after="0" w:line="437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可用于注册申请。</w:t>
      </w:r>
    </w:p>
    <w:p w:rsidR="005A76FB" w:rsidRDefault="005A76FB" w:rsidP="005A76FB">
      <w:pPr>
        <w:spacing w:before="0" w:after="0" w:line="441" w:lineRule="exact"/>
        <w:ind w:firstLine="639" w:left="228"/>
        <w:jc w:val="left"/>
        <w:rPr/>
      </w:pPr>
      <w:r>
        <w:rPr>
          <w:rFonts w:ascii="黑体" w:hAnsi="黑体" w:cs="黑体"/>
          <w:u w:val="none"/>
          <w:sz w:val="32"/>
          <w:position w:val="0"/>
          <w:color w:val="000000"/>
          <w:noProof w:val="true"/>
          <w:spacing w:val="-7"/>
          <w:w w:val="100"/>
        </w:rPr>
        <w:t>二、接受境外临床试验数据的基本原则</w:t>
      </w:r>
    </w:p>
    <w:p w:rsidR="005A76FB" w:rsidRDefault="005A76FB" w:rsidP="005A76FB">
      <w:pPr>
        <w:spacing w:before="0" w:after="0" w:line="441" w:lineRule="exact"/>
        <w:ind w:firstLine="639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申请人应确保境外临床试验数据真实性、完整性、准确性和</w:t>
      </w:r>
    </w:p>
    <w:p w:rsidR="005A76FB" w:rsidRDefault="005A76FB" w:rsidP="005A76FB">
      <w:pPr>
        <w:spacing w:before="0" w:after="0" w:line="436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可溯源性。</w:t>
      </w:r>
    </w:p>
    <w:p w:rsidR="005A76FB" w:rsidRDefault="005A76FB" w:rsidP="005A76FB">
      <w:pPr>
        <w:spacing w:before="0" w:after="0" w:line="442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境外临床试验数据的产生过程，应符合人用药品注册技术国</w:t>
      </w:r>
    </w:p>
    <w:p w:rsidR="005A76FB" w:rsidRDefault="005A76FB" w:rsidP="005A76FB">
      <w:pPr>
        <w:spacing w:before="0" w:after="0" w:line="465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13"/>
          <w:w w:val="100"/>
        </w:rPr>
        <w:t>际协调会议（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7"/>
          <w:w w:val="100"/>
        </w:rPr>
        <w:t>ICH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14"/>
          <w:w w:val="100"/>
        </w:rPr>
        <w:t>）临床试验质量管理规范（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7"/>
          <w:w w:val="100"/>
        </w:rPr>
        <w:t>GCP</w:t>
      </w:r>
      <w:r>
        <w:rPr>
          <w:rFonts w:ascii="仿宋" w:hAnsi="仿宋" w:cs="仿宋"/>
          <w:u w:val="none"/>
          <w:sz w:val="32"/>
          <w:position w:val="2.40936279"/>
          <w:color w:val="000000"/>
          <w:noProof w:val="true"/>
          <w:spacing w:val="-12"/>
          <w:w w:val="100"/>
        </w:rPr>
        <w:t>）的相关要求。</w:t>
      </w:r>
    </w:p>
    <w:p w:rsidR="005A76FB" w:rsidRDefault="005A76FB" w:rsidP="005A76FB">
      <w:pPr>
        <w:spacing w:before="0" w:after="0" w:line="412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申请人应确保境外临床试验设计科学，临床试验质量管理体</w:t>
      </w:r>
    </w:p>
    <w:p w:rsidR="005A76FB" w:rsidRDefault="005A76FB" w:rsidP="005A76FB">
      <w:pPr>
        <w:spacing w:before="0" w:after="0" w:line="442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系符合要求，数据统计分析准确、完整。</w:t>
      </w:r>
    </w:p>
    <w:p w:rsidR="005A76FB" w:rsidRDefault="005A76FB" w:rsidP="005A76FB">
      <w:pPr>
        <w:spacing w:before="0" w:after="0" w:line="441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为确保临床试验设计和数据统计分析科学合理，对于境内外</w:t>
      </w:r>
    </w:p>
    <w:p w:rsidR="005A76FB" w:rsidRDefault="005A76FB" w:rsidP="005A76FB">
      <w:pPr>
        <w:spacing w:before="0" w:after="0" w:line="436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同步研发的且将在中国开展临床试验的药物，申请人在实施关键</w:t>
      </w:r>
    </w:p>
    <w:p w:rsidR="005A76FB" w:rsidRDefault="005A76FB" w:rsidP="005A76FB">
      <w:pPr>
        <w:spacing w:before="0" w:after="0" w:line="441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临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床试验之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前，可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与国家食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品药品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监督管理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总局药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2"/>
          <w:w w:val="100"/>
        </w:rPr>
        <w:t>品审评中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心</w:t>
      </w:r>
    </w:p>
    <w:p w:rsidR="005A76FB" w:rsidRDefault="005A76FB" w:rsidP="005A76FB">
      <w:pPr>
        <w:spacing w:before="0" w:after="0" w:line="442" w:lineRule="exact"/>
        <w:ind w:firstLine="0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（以下简称药审中心）进行沟通，确保关键临床试验的设计符合</w:t>
      </w:r>
    </w:p>
    <w:p w:rsidR="005A76FB" w:rsidRDefault="005A76FB" w:rsidP="005A76FB">
      <w:pPr>
        <w:spacing w:before="0" w:after="0" w:line="436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中国药品注册的基本技术要求。</w:t>
      </w:r>
    </w:p>
    <w:p w:rsidR="005A76FB" w:rsidRDefault="005A76FB" w:rsidP="005A76FB">
      <w:pPr>
        <w:spacing w:before="0" w:after="0" w:line="441" w:lineRule="exact"/>
        <w:ind w:firstLine="639" w:left="228"/>
        <w:jc w:val="left"/>
        <w:rPr/>
      </w:pPr>
      <w:r>
        <w:rPr>
          <w:rFonts w:ascii="黑体" w:hAnsi="黑体" w:cs="黑体"/>
          <w:u w:val="none"/>
          <w:sz w:val="32"/>
          <w:position w:val="0"/>
          <w:color w:val="000000"/>
          <w:noProof w:val="true"/>
          <w:spacing w:val="-7"/>
          <w:w w:val="100"/>
        </w:rPr>
        <w:t>三、接受境外临床试验数据的完整性要求</w:t>
      </w:r>
    </w:p>
    <w:p w:rsidR="005A76FB" w:rsidRDefault="005A76FB" w:rsidP="005A76FB">
      <w:pPr>
        <w:spacing w:before="0" w:after="0" w:line="441" w:lineRule="exact"/>
        <w:ind w:firstLine="639" w:left="22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境外临床试验用于中国药品注册申请的，应提供境外所有临</w:t>
      </w:r>
    </w:p>
    <w:p w:rsidR="005A76FB" w:rsidRDefault="005A76FB" w:rsidP="005A76FB">
      <w:pPr>
        <w:spacing w:before="0" w:after="0" w:line="437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床试验数据，不得选择性提供临床试验数据。保证临床试验数据</w:t>
      </w:r>
    </w:p>
    <w:p w:rsidR="005A76FB" w:rsidRDefault="005A76FB" w:rsidP="005A76FB">
      <w:pPr>
        <w:spacing w:before="0" w:after="0" w:line="441" w:lineRule="exact"/>
        <w:ind w:firstLine="0" w:left="22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的完整性是接受注册申请的基本要求。</w:t>
      </w:r>
    </w:p>
    <w:p w:rsidR="005A76FB" w:rsidRDefault="005A76FB" w:rsidP="005A76FB">
      <w:pPr>
        <w:spacing w:before="0" w:after="0" w:lineRule="exact" w:line="240"/>
        <w:ind w:firstLine="0" w:left="228"/>
        <w:rPr/>
      </w:pPr>
    </w:p>
    <w:p w:rsidR="005A76FB" w:rsidRDefault="005A76FB" w:rsidP="005A76FB">
      <w:pPr>
        <w:spacing w:before="0" w:after="0" w:line="403" w:lineRule="exact"/>
        <w:ind w:firstLine="7580" w:left="228"/>
        <w:jc w:val="left"/>
        <w:rPr/>
      </w:pP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  <w:r>
        <w:rPr>
          <w:rFonts w:ascii="宋体" w:hAnsi="宋体" w:cs="宋体"/>
          <w:u w:val="none"/>
          <w:sz w:val="28"/>
          <w:position w:val="2.08569336"/>
          <w:color w:val="ffffff"/>
          <w:noProof w:val="true"/>
          <w:spacing w:val="-5"/>
          <w:w w:val="100"/>
        </w:rPr>
        <w:t>—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43" w:bottom="1193" w:left="1303" w:header="0" w:footer="0" w:gutter="0"/>
          <w:cols w:num="1" w:equalWidth="0">
            <w:col w:w="9657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10" w:lineRule="exact"/>
        <w:ind w:left="-1353" w:firstLine="2170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对于已有境外早期临床试验，后续在境内进行临床研发的，</w:t>
      </w:r>
    </w:p>
    <w:p w:rsidR="005A76FB" w:rsidRDefault="005A76FB" w:rsidP="005A76FB">
      <w:pPr>
        <w:spacing w:before="0" w:after="0" w:line="437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药品注册申请人应对早期临床试验数据进行评价，具备完整临床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试验数据的，经与药审中心沟通交流后，可用于支持后续临床试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验。</w:t>
      </w:r>
    </w:p>
    <w:p w:rsidR="005A76FB" w:rsidRDefault="005A76FB" w:rsidP="005A76FB">
      <w:pPr>
        <w:spacing w:before="0" w:after="0" w:line="436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对于所有临床试验已在境外完成尚未上市的，应提供完整的</w:t>
      </w:r>
    </w:p>
    <w:p w:rsidR="005A76FB" w:rsidRDefault="005A76FB" w:rsidP="005A76FB">
      <w:pPr>
        <w:spacing w:before="0" w:after="0" w:line="442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境外临床试验数据包；已上市的，还应提供安全性、有效性更新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数据，方可用于在中国的注册申请。</w:t>
      </w:r>
    </w:p>
    <w:p w:rsidR="005A76FB" w:rsidRDefault="005A76FB" w:rsidP="005A76FB">
      <w:pPr>
        <w:spacing w:before="0" w:after="0" w:line="436" w:lineRule="exact"/>
        <w:ind w:firstLine="2170" w:left="-1353"/>
        <w:jc w:val="left"/>
        <w:rPr/>
      </w:pPr>
      <w:r>
        <w:rPr>
          <w:rFonts w:ascii="黑体" w:hAnsi="黑体" w:cs="黑体"/>
          <w:u w:val="none"/>
          <w:sz w:val="32"/>
          <w:position w:val="0"/>
          <w:color w:val="000000"/>
          <w:noProof w:val="true"/>
          <w:spacing w:val="-7"/>
          <w:w w:val="100"/>
        </w:rPr>
        <w:t>四、境外临床试验数据的提交情况及基本技术要求</w:t>
      </w:r>
    </w:p>
    <w:p w:rsidR="005A76FB" w:rsidRDefault="005A76FB" w:rsidP="005A76FB">
      <w:pPr>
        <w:spacing w:before="0" w:after="0" w:line="442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对于境内外同步临床研发的，提交药品注册申请时，应按照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《药品注册管理办法》的申报资料要求整理汇总境内外各类临床</w:t>
      </w:r>
    </w:p>
    <w:p w:rsidR="005A76FB" w:rsidRDefault="005A76FB" w:rsidP="005A76FB">
      <w:pPr>
        <w:spacing w:before="0" w:after="0" w:line="436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试验，形成完整的临床试验数据包，方可用于在中国的药品注册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申请。</w:t>
      </w:r>
    </w:p>
    <w:p w:rsidR="005A76FB" w:rsidRDefault="005A76FB" w:rsidP="005A76FB">
      <w:pPr>
        <w:spacing w:before="0" w:after="0" w:line="442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提交境外临床试验数据用于中国药品注册申请的资料，应包</w:t>
      </w:r>
    </w:p>
    <w:p w:rsidR="005A76FB" w:rsidRDefault="005A76FB" w:rsidP="005A76FB">
      <w:pPr>
        <w:spacing w:before="0" w:after="0" w:line="436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括生物药剂学、临床药理学、有效性和安全性资料数据。鼓励药</w:t>
      </w:r>
    </w:p>
    <w:p w:rsidR="005A76FB" w:rsidRDefault="005A76FB" w:rsidP="005A76FB">
      <w:pPr>
        <w:spacing w:before="0" w:after="0" w:line="465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7"/>
          <w:w w:val="100"/>
        </w:rPr>
        <w:t>品注册申请人采用通用技术文件格式（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7"/>
          <w:w w:val="100"/>
        </w:rPr>
        <w:t>CTD</w:t>
      </w:r>
      <w:r>
        <w:rPr>
          <w:rFonts w:ascii="仿宋" w:hAnsi="仿宋" w:cs="仿宋"/>
          <w:u w:val="none"/>
          <w:sz w:val="32"/>
          <w:position w:val="2.40936279"/>
          <w:color w:val="000000"/>
          <w:noProof w:val="true"/>
          <w:spacing w:val="-5"/>
          <w:w w:val="100"/>
        </w:rPr>
        <w:t>）提交。</w:t>
      </w:r>
    </w:p>
    <w:p w:rsidR="005A76FB" w:rsidRDefault="005A76FB" w:rsidP="005A76FB">
      <w:pPr>
        <w:spacing w:before="0" w:after="0" w:line="417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生物药剂学数据，应提供生物利用度和生物等效性相关的重</w:t>
      </w:r>
    </w:p>
    <w:p w:rsidR="005A76FB" w:rsidRDefault="005A76FB" w:rsidP="005A76FB">
      <w:pPr>
        <w:spacing w:before="0" w:after="0" w:line="437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要体外或体内数据和结果，为剂型确定和临床研发过程中制剂工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艺优化提供支持依据和数据衔接。</w:t>
      </w:r>
    </w:p>
    <w:p w:rsidR="005A76FB" w:rsidRDefault="005A76FB" w:rsidP="005A76FB">
      <w:pPr>
        <w:spacing w:before="0" w:after="0" w:line="441" w:lineRule="exact"/>
        <w:ind w:firstLine="2170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临床药理学数据，主要包括药代动力学和药效学研究数据。</w:t>
      </w:r>
    </w:p>
    <w:p w:rsidR="005A76FB" w:rsidRDefault="005A76FB" w:rsidP="005A76FB">
      <w:pPr>
        <w:spacing w:before="0" w:after="0" w:line="437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药品注册申请人应从区域和人种等多角度进行种族敏感性分析，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为境外临床试验数据适用于中国人群，及其有效性和安全性评价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提供支持。</w:t>
      </w:r>
    </w:p>
    <w:p w:rsidR="005A76FB" w:rsidRDefault="005A76FB" w:rsidP="005A76FB">
      <w:pPr>
        <w:spacing w:before="0" w:after="0" w:line="436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有效性数据，主要包括境外关键临床试验数据和在中国开展</w:t>
      </w:r>
    </w:p>
    <w:p w:rsidR="005A76FB" w:rsidRDefault="005A76FB" w:rsidP="005A76FB">
      <w:pPr>
        <w:spacing w:before="0" w:after="0" w:line="442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的临床试验数据，既要从整体上确证研究药物的有效性，还要分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析中国亚组与总体人群的一致性。</w:t>
      </w:r>
    </w:p>
    <w:p w:rsidR="005A76FB" w:rsidRDefault="005A76FB" w:rsidP="005A76FB">
      <w:pPr>
        <w:spacing w:before="0" w:after="0" w:line="436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安全性数据，包括境内外所有的用于安全性评价的数据，既</w:t>
      </w:r>
    </w:p>
    <w:p w:rsidR="005A76FB" w:rsidRDefault="005A76FB" w:rsidP="005A76FB">
      <w:pPr>
        <w:spacing w:before="0" w:after="0" w:line="441" w:lineRule="exact"/>
        <w:ind w:firstLine="1531" w:left="-1353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要分析总体安全性，还要分析中国亚组与总体人群的一致性。</w:t>
      </w:r>
    </w:p>
    <w:p w:rsidR="005A76FB" w:rsidRDefault="005A76FB" w:rsidP="005A76FB">
      <w:pPr>
        <w:spacing w:before="0" w:after="0" w:line="442" w:lineRule="exact"/>
        <w:ind w:firstLine="2170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境外临床试验数据应支持有效性和安全性评价，药品注册申</w:t>
      </w:r>
    </w:p>
    <w:p w:rsidR="005A76FB" w:rsidRDefault="005A76FB" w:rsidP="005A76FB">
      <w:pPr>
        <w:spacing w:before="0" w:after="0" w:line="436" w:lineRule="exact"/>
        <w:ind w:firstLine="1531" w:left="-1353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请人应考虑符合中国药品注册管理要求，在对完整临床试验数据</w:t>
      </w:r>
    </w:p>
    <w:p w:rsidR="005A76FB" w:rsidRDefault="005A76FB" w:rsidP="005A76FB">
      <w:pPr>
        <w:spacing w:before="0" w:after="0" w:lineRule="exact" w:line="240"/>
        <w:ind w:firstLine="1531" w:left="-1353"/>
        <w:rPr/>
      </w:pPr>
    </w:p>
    <w:p w:rsidR="005A76FB" w:rsidRDefault="005A76FB" w:rsidP="005A76FB">
      <w:pPr>
        <w:sectPr w:rsidR="005A76FB" w:rsidSect="005A76FB">
          <w:type w:val="continuous"/>
          <w:pgSz w:w="11904" w:h="16838"/>
          <w:pgMar w:top="1433" w:right="994" w:bottom="1193" w:left="1354" w:header="0" w:footer="0" w:gutter="0"/>
        </w:sectPr>
        <w:spacing w:before="0" w:after="0" w:line="475" w:lineRule="exact"/>
        <w:ind w:firstLine="1531" w:left="-1353"/>
        <w:jc w:val="left"/>
        <w:rPr/>
      </w:pPr>
      <w:r>
        <w:rPr>
          <w:rFonts w:ascii="宋体" w:hAnsi="宋体" w:cs="宋体"/>
          <w:u w:val="none"/>
          <w:sz w:val="28"/>
          <w:position w:val="2.08569336"/>
          <w:color w:val="ffffff"/>
          <w:noProof w:val="true"/>
          <w:spacing w:val="-5"/>
          <w:w w:val="100"/>
        </w:rPr>
        <w:t>—</w:t>
      </w: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94" w:bottom="1193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1" w:lineRule="exact"/>
        <w:ind w:left="177" w:firstLine="0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包分析的基础上，对关键临床试验数据进行评价，以确证研究药</w:t>
      </w:r>
    </w:p>
    <w:p w:rsidR="005A76FB" w:rsidRDefault="005A76FB" w:rsidP="005A76FB">
      <w:pPr>
        <w:spacing w:before="0" w:after="0" w:line="461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6"/>
          <w:w w:val="100"/>
        </w:rPr>
        <w:t>物的有效性；遵循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0"/>
          <w:w w:val="210"/>
        </w:rPr>
        <w:t> 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6"/>
          <w:w w:val="100"/>
        </w:rPr>
        <w:t>ICH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0"/>
          <w:w w:val="192"/>
        </w:rPr>
        <w:t> 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6"/>
          <w:w w:val="100"/>
        </w:rPr>
        <w:t>关于接受国外临床资料的种族影响因素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5"/>
          <w:w w:val="100"/>
        </w:rPr>
        <w:t>（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4"/>
          <w:w w:val="100"/>
        </w:rPr>
        <w:t>E5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13"/>
          <w:w w:val="100"/>
        </w:rPr>
        <w:t>）要求，分析中国亚组与总体人群的一致性，以支持境外临</w:t>
      </w:r>
    </w:p>
    <w:p w:rsidR="005A76FB" w:rsidRDefault="005A76FB" w:rsidP="005A76FB">
      <w:pPr>
        <w:spacing w:before="0" w:after="0" w:line="417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床试验结果外推至中国人群。</w:t>
      </w:r>
    </w:p>
    <w:p w:rsidR="005A76FB" w:rsidRDefault="005A76FB" w:rsidP="005A76FB">
      <w:pPr>
        <w:spacing w:before="0" w:after="0" w:line="436" w:lineRule="exact"/>
        <w:ind w:firstLine="639" w:left="177"/>
        <w:jc w:val="left"/>
        <w:rPr/>
      </w:pPr>
      <w:r>
        <w:rPr>
          <w:rFonts w:ascii="黑体" w:hAnsi="黑体" w:cs="黑体"/>
          <w:u w:val="none"/>
          <w:sz w:val="32"/>
          <w:position w:val="0"/>
          <w:color w:val="000000"/>
          <w:noProof w:val="true"/>
          <w:spacing w:val="-7"/>
          <w:w w:val="100"/>
        </w:rPr>
        <w:t>五、境外临床试验数据的可接受性</w:t>
      </w:r>
    </w:p>
    <w:p w:rsidR="005A76FB" w:rsidRDefault="005A76FB" w:rsidP="005A76FB">
      <w:pPr>
        <w:spacing w:before="0" w:after="0" w:line="442" w:lineRule="exact"/>
        <w:ind w:firstLine="639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依据临床试验数据的质量，对临床试验数据接受分为完全接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受、部分接受与不接受。</w:t>
      </w:r>
    </w:p>
    <w:p w:rsidR="005A76FB" w:rsidRDefault="005A76FB" w:rsidP="005A76FB">
      <w:pPr>
        <w:spacing w:before="0" w:after="0" w:line="460" w:lineRule="exact"/>
        <w:ind w:firstLine="639" w:left="177"/>
        <w:jc w:val="left"/>
        <w:rPr/>
      </w:pPr>
      <w:r>
        <w:rPr>
          <w:rFonts w:ascii="仿宋" w:hAnsi="仿宋" w:cs="仿宋"/>
          <w:u w:val="none"/>
          <w:sz w:val="32"/>
          <w:position w:val="2.40936279"/>
          <w:color w:val="000000"/>
          <w:noProof w:val="true"/>
          <w:spacing w:val="-7"/>
          <w:w w:val="100"/>
        </w:rPr>
        <w:t>完全接受。境外临床试验数据真实可靠，符合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6"/>
          <w:w w:val="100"/>
        </w:rPr>
        <w:t>ICH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5"/>
          <w:w w:val="100"/>
        </w:rPr>
        <w:t>GCP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6"/>
          <w:w w:val="100"/>
        </w:rPr>
        <w:t> 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5"/>
          <w:w w:val="100"/>
        </w:rPr>
        <w:t>和</w:t>
      </w:r>
    </w:p>
    <w:p w:rsidR="005A76FB" w:rsidRDefault="005A76FB" w:rsidP="005A76FB">
      <w:pPr>
        <w:spacing w:before="0" w:after="0" w:line="418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药品注册检查要求；境外临床研究数据支持目标适应症的有效性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和安全性评价；不存在影响有效性和安全性的种族敏感性因素。</w:t>
      </w:r>
    </w:p>
    <w:p w:rsidR="005A76FB" w:rsidRDefault="005A76FB" w:rsidP="005A76FB">
      <w:pPr>
        <w:spacing w:before="0" w:after="0" w:line="460" w:lineRule="exact"/>
        <w:ind w:firstLine="639" w:left="177"/>
        <w:jc w:val="left"/>
        <w:rPr/>
      </w:pPr>
      <w:r>
        <w:rPr>
          <w:rFonts w:ascii="仿宋" w:hAnsi="仿宋" w:cs="仿宋"/>
          <w:u w:val="none"/>
          <w:sz w:val="32"/>
          <w:position w:val="2.40936279"/>
          <w:color w:val="000000"/>
          <w:noProof w:val="true"/>
          <w:spacing w:val="-7"/>
          <w:w w:val="100"/>
        </w:rPr>
        <w:t>部分接受。境外临床试验数据真实可靠，符合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6"/>
          <w:w w:val="100"/>
        </w:rPr>
        <w:t>ICH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0"/>
          <w:w w:val="205"/>
        </w:rPr>
        <w:t> 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5"/>
          <w:w w:val="100"/>
        </w:rPr>
        <w:t>GCP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2"/>
          <w:w w:val="100"/>
        </w:rPr>
        <w:t> 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5"/>
          <w:w w:val="100"/>
        </w:rPr>
        <w:t>和</w:t>
      </w:r>
    </w:p>
    <w:p w:rsidR="005A76FB" w:rsidRDefault="005A76FB" w:rsidP="005A76FB">
      <w:pPr>
        <w:spacing w:before="0" w:after="0" w:line="417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药品注册检查要求；境外临床研究数据支持目标适应症的有效性</w:t>
      </w:r>
    </w:p>
    <w:p w:rsidR="005A76FB" w:rsidRDefault="005A76FB" w:rsidP="005A76FB">
      <w:pPr>
        <w:spacing w:before="0" w:after="0" w:line="466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3"/>
          <w:w w:val="100"/>
        </w:rPr>
        <w:t>和安全性评价，但存在影响有效性和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仿宋" w:eastAsia="仿宋" w:hAnsi="仿宋" w:cs="仿宋"/>
          <w:u w:val="none"/>
          <w:sz w:val="32"/>
          <w:position w:val="2.40936279"/>
          <w:color w:val="000000"/>
          <w:noProof w:val="true"/>
          <w:spacing w:val="-3"/>
          <w:w w:val="100"/>
        </w:rPr>
        <w:t>或安全性的种族敏感性因</w:t>
      </w:r>
    </w:p>
    <w:p w:rsidR="005A76FB" w:rsidRDefault="005A76FB" w:rsidP="005A76FB">
      <w:pPr>
        <w:spacing w:before="0" w:after="0" w:line="412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素。境外临床试验数据外推至中国人群的有效性和安全性评价存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在较大的不确定性。药品注册申请人应根据影响因素分析情况，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与药审中心进行沟通交流后，有针对性地开展相应临床试验。</w:t>
      </w:r>
    </w:p>
    <w:p w:rsidR="005A76FB" w:rsidRDefault="005A76FB" w:rsidP="005A76FB">
      <w:pPr>
        <w:spacing w:before="0" w:after="0" w:line="437" w:lineRule="exact"/>
        <w:ind w:firstLine="639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不接受。境外临床试验数据在真实性、完整性、准确性和可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溯源性方面存在重大问题，境外临床试验数据不能充分支持目标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适应症的有效性和安全性评价，药品注册申请人应按照创新药研</w:t>
      </w:r>
    </w:p>
    <w:p w:rsidR="005A76FB" w:rsidRDefault="005A76FB" w:rsidP="005A76FB">
      <w:pPr>
        <w:spacing w:before="0" w:after="0" w:line="437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发思路，在中国开展系统临床试验，以支持在中国的药品注册申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请。</w:t>
      </w:r>
    </w:p>
    <w:p w:rsidR="005A76FB" w:rsidRDefault="005A76FB" w:rsidP="005A76FB">
      <w:pPr>
        <w:spacing w:before="0" w:after="0" w:line="441" w:lineRule="exact"/>
        <w:ind w:firstLine="639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对于用于危重疾病、罕见病、儿科且缺乏有效治疗手段的药</w:t>
      </w:r>
    </w:p>
    <w:p w:rsidR="005A76FB" w:rsidRDefault="005A76FB" w:rsidP="005A76FB">
      <w:pPr>
        <w:spacing w:before="0" w:after="0" w:line="460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品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注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册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申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请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，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经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评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估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其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境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外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临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床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试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验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数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据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属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于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部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分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接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受</w:t>
      </w:r>
      <w:r>
        <w:rPr>
          <w:rFonts w:ascii="Times New Roman" w:hAnsi="Times New Roman" w:cs="Times New Roman"/>
          <w:u w:val="none"/>
          <w:sz w:val="32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情</w:t>
      </w:r>
      <w:r>
        <w:rPr>
          <w:rFonts w:ascii="仿宋" w:eastAsia="仿宋" w:hAnsi="仿宋" w:cs="仿宋"/>
          <w:u w:val="none"/>
          <w:sz w:val="32"/>
          <w:position w:val="2.40930176"/>
          <w:color w:val="000000"/>
          <w:noProof w:val="true"/>
          <w:spacing w:val="-5"/>
          <w:w w:val="100"/>
        </w:rPr>
        <w:t>形</w:t>
      </w:r>
    </w:p>
    <w:p w:rsidR="005A76FB" w:rsidRDefault="005A76FB" w:rsidP="005A76FB">
      <w:pPr>
        <w:spacing w:before="0" w:after="0" w:line="417" w:lineRule="exact"/>
        <w:ind w:firstLine="0" w:left="17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11"/>
          <w:w w:val="100"/>
        </w:rPr>
        <w:t>的，可采用有条件接受临床试验数据方式，在药品上市后收集进</w:t>
      </w:r>
    </w:p>
    <w:p w:rsidR="005A76FB" w:rsidRDefault="005A76FB" w:rsidP="005A76FB">
      <w:pPr>
        <w:spacing w:before="0" w:after="0" w:line="441" w:lineRule="exact"/>
        <w:ind w:firstLine="0" w:left="17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7"/>
          <w:w w:val="100"/>
        </w:rPr>
        <w:t>一步的有效性和安全性数据用于评价。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94" w:bottom="1193" w:left="1354" w:header="0" w:footer="0" w:gutter="0"/>
          <w:cols w:num="1" w:equalWidth="0">
            <w:col w:w="95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0"/>
        <w:ind w:firstLine="0" w:left="177"/>
        <w:rPr/>
      </w:pPr>
    </w:p>
    <w:p w:rsidR="005A76FB" w:rsidRDefault="005A76FB" w:rsidP="005A76FB">
      <w:pPr>
        <w:spacing w:before="0" w:after="0" w:lineRule="exact" w:line="242"/>
        <w:ind w:firstLine="0" w:left="17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39"/>
          <w:pgMar w:top="1433" w:right="994" w:bottom="1193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8" w:lineRule="exact"/>
        <w:ind w:firstLine="0" w:left="7757"/>
        <w:jc w:val="left"/>
        <w:rPr/>
      </w:pP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宋体" w:hAnsi="宋体" w:cs="宋体"/>
          <w:u w:val="none"/>
          <w:sz w:val="28"/>
          <w:position w:val="2.08569336"/>
          <w:color w:val="000000"/>
          <w:noProof w:val="true"/>
          <w:spacing w:val="-5"/>
          <w:w w:val="100"/>
        </w:rPr>
        <w:t>—</w:t>
      </w:r>
      <w:r>
        <w:rPr>
          <w:rFonts w:ascii="宋体" w:hAnsi="宋体" w:cs="宋体"/>
          <w:u w:val="none"/>
          <w:sz w:val="28"/>
          <w:position w:val="2.08569336"/>
          <w:color w:val="ffffff"/>
          <w:noProof w:val="true"/>
          <w:spacing w:val="-5"/>
          <w:w w:val="100"/>
        </w:rPr>
        <w:t>—</w:t>
      </w:r>
    </w:p>
    <w:sectPr w:rsidR="005A76FB" w:rsidSect="005A76FB">
      <w:type w:val="continuous"/>
      <w:pgSz w:w="11904" w:h="16839"/>
      <w:pgMar w:top="1433" w:right="994" w:bottom="1193" w:left="1354" w:header="0" w:footer="0" w:gutter="0"/>
      <w:cols w:num="1" w:equalWidth="0">
        <w:col w:w="955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image" Target="media/picture6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